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55275" w14:textId="77777777"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0A7B139A" wp14:editId="2EABBF8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8DF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0DDE996C" wp14:editId="2FB08ABE">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6F73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22C771F1" wp14:editId="586AF900">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5FA4"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Pr>
          <w:rFonts w:ascii="Times New Roman" w:hAnsi="Times New Roman"/>
          <w:color w:val="333399"/>
        </w:rPr>
        <w:t>EURODOM</w:t>
      </w:r>
    </w:p>
    <w:p w14:paraId="70390CB8" w14:textId="77777777"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1ADF55A9" wp14:editId="04E5F403">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228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57A9F437" w14:textId="77777777" w:rsidR="001B512A" w:rsidRPr="00F81F6F" w:rsidRDefault="001B512A" w:rsidP="001B512A">
      <w:pPr>
        <w:jc w:val="right"/>
        <w:rPr>
          <w:rFonts w:ascii="Times New Roman" w:hAnsi="Times New Roman"/>
          <w:b/>
          <w:color w:val="0070C0"/>
          <w:sz w:val="24"/>
          <w:szCs w:val="24"/>
          <w:lang w:val="fr-FR"/>
        </w:rPr>
      </w:pPr>
    </w:p>
    <w:p w14:paraId="2E0AC81C" w14:textId="77777777"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14:paraId="6EABA3C0" w14:textId="77777777" w:rsidR="001B512A" w:rsidRDefault="001B512A" w:rsidP="001B512A">
      <w:pPr>
        <w:spacing w:after="0"/>
        <w:rPr>
          <w:sz w:val="16"/>
          <w:szCs w:val="16"/>
          <w:lang w:val="fr-FR" w:eastAsia="fr-FR"/>
        </w:rPr>
      </w:pPr>
    </w:p>
    <w:p w14:paraId="3375B9DC" w14:textId="77777777" w:rsidR="009D037C" w:rsidRDefault="009D037C" w:rsidP="001B512A">
      <w:pPr>
        <w:spacing w:after="0"/>
        <w:rPr>
          <w:sz w:val="16"/>
          <w:szCs w:val="16"/>
          <w:lang w:val="fr-FR" w:eastAsia="fr-FR"/>
        </w:rPr>
      </w:pPr>
    </w:p>
    <w:p w14:paraId="4668057D" w14:textId="77777777" w:rsidR="009D037C" w:rsidRPr="004217BB" w:rsidRDefault="009D037C" w:rsidP="001B512A">
      <w:pPr>
        <w:spacing w:after="0"/>
        <w:rPr>
          <w:sz w:val="16"/>
          <w:szCs w:val="16"/>
          <w:lang w:val="fr-FR" w:eastAsia="fr-FR"/>
        </w:rPr>
      </w:pPr>
    </w:p>
    <w:p w14:paraId="49B5E4D3" w14:textId="77777777"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r w:rsidRPr="007522DF">
        <w:rPr>
          <w:rFonts w:ascii="Baskerville Old Face" w:hAnsi="Baskerville Old Face"/>
          <w:smallCaps/>
          <w:color w:val="333399"/>
          <w:sz w:val="48"/>
          <w:szCs w:val="40"/>
          <w:lang w:val="fr-BE"/>
        </w:rPr>
        <w:t>InfoRup</w:t>
      </w:r>
      <w:r>
        <w:rPr>
          <w:rFonts w:ascii="Baskerville Old Face" w:hAnsi="Baskerville Old Face"/>
          <w:smallCaps/>
          <w:color w:val="333399"/>
          <w:sz w:val="48"/>
          <w:szCs w:val="40"/>
          <w:lang w:val="fr-BE"/>
        </w:rPr>
        <w:t xml:space="preserve"> </w:t>
      </w:r>
    </w:p>
    <w:p w14:paraId="62185807" w14:textId="77D6FA61"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9D037C">
        <w:rPr>
          <w:rFonts w:ascii="Baskerville Old Face" w:hAnsi="Baskerville Old Face"/>
          <w:b/>
          <w:color w:val="5B9BD5" w:themeColor="accent1"/>
          <w:sz w:val="36"/>
          <w:szCs w:val="36"/>
          <w:lang w:val="fr-BE"/>
        </w:rPr>
        <w:t>05</w:t>
      </w:r>
      <w:r w:rsidR="0083585F">
        <w:rPr>
          <w:rFonts w:ascii="Baskerville Old Face" w:hAnsi="Baskerville Old Face"/>
          <w:b/>
          <w:color w:val="5B9BD5" w:themeColor="accent1"/>
          <w:sz w:val="36"/>
          <w:szCs w:val="36"/>
          <w:lang w:val="fr-BE"/>
        </w:rPr>
        <w:t xml:space="preserve"> septembre</w:t>
      </w:r>
      <w:r w:rsidRPr="006768B3">
        <w:rPr>
          <w:rFonts w:ascii="Baskerville Old Face" w:hAnsi="Baskerville Old Face"/>
          <w:b/>
          <w:color w:val="5B9BD5" w:themeColor="accent1"/>
          <w:sz w:val="36"/>
          <w:szCs w:val="36"/>
          <w:lang w:val="fr-BE"/>
        </w:rPr>
        <w:t xml:space="preserve"> au</w:t>
      </w:r>
      <w:r w:rsidR="00873977">
        <w:rPr>
          <w:rFonts w:ascii="Baskerville Old Face" w:hAnsi="Baskerville Old Face"/>
          <w:b/>
          <w:color w:val="5B9BD5" w:themeColor="accent1"/>
          <w:sz w:val="36"/>
          <w:szCs w:val="36"/>
          <w:lang w:val="fr-BE"/>
        </w:rPr>
        <w:t xml:space="preserve"> </w:t>
      </w:r>
      <w:r w:rsidR="00793D1F">
        <w:rPr>
          <w:rFonts w:ascii="Baskerville Old Face" w:hAnsi="Baskerville Old Face"/>
          <w:b/>
          <w:color w:val="5B9BD5" w:themeColor="accent1"/>
          <w:sz w:val="36"/>
          <w:szCs w:val="36"/>
          <w:lang w:val="fr-BE"/>
        </w:rPr>
        <w:t>0</w:t>
      </w:r>
      <w:r w:rsidR="009D037C">
        <w:rPr>
          <w:rFonts w:ascii="Baskerville Old Face" w:hAnsi="Baskerville Old Face"/>
          <w:b/>
          <w:color w:val="5B9BD5" w:themeColor="accent1"/>
          <w:sz w:val="36"/>
          <w:szCs w:val="36"/>
          <w:lang w:val="fr-BE"/>
        </w:rPr>
        <w:t>9</w:t>
      </w:r>
      <w:r w:rsidR="0083585F">
        <w:rPr>
          <w:rFonts w:ascii="Baskerville Old Face" w:hAnsi="Baskerville Old Face"/>
          <w:b/>
          <w:color w:val="5B9BD5" w:themeColor="accent1"/>
          <w:sz w:val="36"/>
          <w:szCs w:val="36"/>
          <w:lang w:val="fr-BE"/>
        </w:rPr>
        <w:t xml:space="preserve"> octobre</w:t>
      </w:r>
      <w:r w:rsidRPr="006768B3">
        <w:rPr>
          <w:rFonts w:ascii="Baskerville Old Face" w:hAnsi="Baskerville Old Face"/>
          <w:b/>
          <w:color w:val="5B9BD5" w:themeColor="accent1"/>
          <w:sz w:val="36"/>
          <w:szCs w:val="36"/>
          <w:lang w:val="fr-BE"/>
        </w:rPr>
        <w:t xml:space="preserve"> 2015</w:t>
      </w:r>
    </w:p>
    <w:p w14:paraId="06F9D348" w14:textId="77777777" w:rsidR="008E442E" w:rsidRPr="008E442E" w:rsidRDefault="008E442E" w:rsidP="00EA7C1C">
      <w:pPr>
        <w:spacing w:after="0" w:line="288" w:lineRule="auto"/>
        <w:jc w:val="both"/>
        <w:rPr>
          <w:rFonts w:ascii="Times New Roman" w:eastAsia="Times New Roman" w:hAnsi="Times New Roman"/>
          <w:color w:val="000000" w:themeColor="text1"/>
          <w:sz w:val="24"/>
          <w:szCs w:val="24"/>
          <w:lang w:val="fr-BE"/>
        </w:rPr>
      </w:pPr>
    </w:p>
    <w:p w14:paraId="268CA819" w14:textId="77777777" w:rsidR="008E442E" w:rsidRDefault="008E442E" w:rsidP="00EA7C1C">
      <w:pPr>
        <w:spacing w:after="0" w:line="288" w:lineRule="auto"/>
        <w:jc w:val="both"/>
        <w:rPr>
          <w:rFonts w:ascii="Times New Roman" w:eastAsia="Times New Roman" w:hAnsi="Times New Roman"/>
          <w:b/>
          <w:color w:val="5B9BD5" w:themeColor="accent1"/>
          <w:sz w:val="24"/>
          <w:szCs w:val="24"/>
          <w:lang w:val="fr-BE"/>
        </w:rPr>
      </w:pPr>
    </w:p>
    <w:p w14:paraId="50C5E23B" w14:textId="1517AFB3" w:rsidR="007C75F2" w:rsidRPr="00A9487A" w:rsidRDefault="00EA7C1C" w:rsidP="00EA7C1C">
      <w:pPr>
        <w:spacing w:after="0" w:line="288" w:lineRule="auto"/>
        <w:jc w:val="both"/>
        <w:rPr>
          <w:rFonts w:ascii="Times New Roman" w:eastAsia="Times New Roman" w:hAnsi="Times New Roman"/>
          <w:color w:val="000000"/>
          <w:sz w:val="24"/>
          <w:szCs w:val="24"/>
          <w:lang w:val="fr-BE"/>
        </w:rPr>
      </w:pPr>
      <w:r>
        <w:rPr>
          <w:rFonts w:ascii="Times New Roman" w:eastAsia="Times New Roman" w:hAnsi="Times New Roman"/>
          <w:b/>
          <w:color w:val="5B9BD5" w:themeColor="accent1"/>
          <w:sz w:val="24"/>
          <w:szCs w:val="24"/>
          <w:lang w:val="fr-BE"/>
        </w:rPr>
        <w:t xml:space="preserve">LA COMMISSION ADOPTE UN RAPPORT SUR L’APPLICATION </w:t>
      </w:r>
      <w:r w:rsidR="00AC0F59">
        <w:rPr>
          <w:rFonts w:ascii="Times New Roman" w:eastAsia="Times New Roman" w:hAnsi="Times New Roman"/>
          <w:b/>
          <w:color w:val="5B9BD5" w:themeColor="accent1"/>
          <w:sz w:val="24"/>
          <w:szCs w:val="24"/>
          <w:lang w:val="fr-BE"/>
        </w:rPr>
        <w:t xml:space="preserve">DU </w:t>
      </w:r>
      <w:r w:rsidR="00AC0F59" w:rsidRPr="00AC0F59">
        <w:rPr>
          <w:rFonts w:ascii="Times New Roman" w:eastAsia="Times New Roman" w:hAnsi="Times New Roman"/>
          <w:b/>
          <w:color w:val="5B9BD5" w:themeColor="accent1"/>
          <w:sz w:val="24"/>
          <w:szCs w:val="24"/>
          <w:lang w:val="fr-BE"/>
        </w:rPr>
        <w:t>RÈGLEMENT SUR LA LUTTE CONTRE LA PÊCHE ILLÉGALE</w:t>
      </w:r>
      <w:r w:rsidR="00AC0F59">
        <w:rPr>
          <w:rFonts w:ascii="Times New Roman" w:eastAsia="Times New Roman" w:hAnsi="Times New Roman"/>
          <w:b/>
          <w:color w:val="5B9BD5" w:themeColor="accent1"/>
          <w:sz w:val="24"/>
          <w:szCs w:val="24"/>
          <w:lang w:val="fr-BE"/>
        </w:rPr>
        <w:t xml:space="preserve"> : </w:t>
      </w:r>
      <w:r w:rsidR="00AC0F59" w:rsidRPr="00AC0F59">
        <w:rPr>
          <w:rFonts w:ascii="Times New Roman" w:eastAsia="Times New Roman" w:hAnsi="Times New Roman"/>
          <w:color w:val="000000"/>
          <w:sz w:val="24"/>
          <w:szCs w:val="24"/>
          <w:lang w:val="fr-BE"/>
        </w:rPr>
        <w:t xml:space="preserve">Après cinq ans de mise en œuvre, le règlement sur la lutte contre la pêche illégale a eu une incidence « évidente » sur les activités de pêche dans le monde, selon un rapport adopté par la Commission européenne, jeudi 1er octobre. Ce règlement a instauré un mécanisme de coopération permanent entre l'Union et les pays tiers et a renforcé la volonté des États membres et des pays tiers de respecter davantage leurs obligations internationales en leur qualité d'État du pavillon, d'État côtier, d'État du port ou d'État de commercialisation. La Commission européenne a adopté une communication sur l'application du règlement 1005/2008 établissant un système communautaire destiné à prévenir, à décourager et à éradiquer la pêche illicite, non déclarée et non réglementée (INN). Ce rapport montre que la Commission a jusqu'ici engagé le dialogue avec près de 50 pays tiers au sujet de la pêche illégale. Par l'intermédiaire de missions et de réunions, le processus de dialogue a abouti à des réformes législatives et administratives dans plus de 15 pays. Depuis 2010, la Commission a enquêté sur plus de 200 cas de navires soupçonnés de pratiquer la pêche INN en provenance de 27 pays. Ces enquêtes ont eu pour conséquence directe l'imposition de sanctions s'élevant à un total de plus de 8 millions d'euros d'amendes et de redevances à l'encontre de plus de 50 navires par huit États du pavillon (Belize, Brésil, Comores, Espagne, Lituanie, Panama, République de Guinée et République de Corée) et quatre États côtiers (Guinée-Bissau, Liberia, République de Guinée et Sierra Leone). La Commission continuera à travailler au renforcement des systèmes en place ainsi qu'à la simplification et à la modernisation de la mise en œuvre du règlement 1005/2008. Certaines améliorations techniques peuvent encore être apportées </w:t>
      </w:r>
      <w:r>
        <w:rPr>
          <w:rFonts w:ascii="Times New Roman" w:eastAsia="Times New Roman" w:hAnsi="Times New Roman"/>
          <w:color w:val="000000"/>
          <w:sz w:val="24"/>
          <w:szCs w:val="24"/>
          <w:lang w:val="fr-BE"/>
        </w:rPr>
        <w:t xml:space="preserve">selon le rapport </w:t>
      </w:r>
      <w:r w:rsidR="00AC0F59" w:rsidRPr="00AC0F59">
        <w:rPr>
          <w:rFonts w:ascii="Times New Roman" w:eastAsia="Times New Roman" w:hAnsi="Times New Roman"/>
          <w:color w:val="000000"/>
          <w:sz w:val="24"/>
          <w:szCs w:val="24"/>
          <w:lang w:val="fr-BE"/>
        </w:rPr>
        <w:t xml:space="preserve">et celles-ci peuvent être introduites sur la base du texte juridique actuel. L'objectif est d'améliorer le rapport coût-efficacité du système actuel, notamment en remplaçant le support papier par </w:t>
      </w:r>
      <w:r>
        <w:rPr>
          <w:rFonts w:ascii="Times New Roman" w:eastAsia="Times New Roman" w:hAnsi="Times New Roman"/>
          <w:color w:val="000000"/>
          <w:sz w:val="24"/>
          <w:szCs w:val="24"/>
          <w:lang w:val="fr-BE"/>
        </w:rPr>
        <w:t>un</w:t>
      </w:r>
      <w:r w:rsidRPr="00AC0F59">
        <w:rPr>
          <w:rFonts w:ascii="Times New Roman" w:eastAsia="Times New Roman" w:hAnsi="Times New Roman"/>
          <w:color w:val="000000"/>
          <w:sz w:val="24"/>
          <w:szCs w:val="24"/>
          <w:lang w:val="fr-BE"/>
        </w:rPr>
        <w:t xml:space="preserve"> </w:t>
      </w:r>
      <w:r w:rsidR="00AC0F59" w:rsidRPr="00AC0F59">
        <w:rPr>
          <w:rFonts w:ascii="Times New Roman" w:eastAsia="Times New Roman" w:hAnsi="Times New Roman"/>
          <w:color w:val="000000"/>
          <w:sz w:val="24"/>
          <w:szCs w:val="24"/>
          <w:lang w:val="fr-BE"/>
        </w:rPr>
        <w:t xml:space="preserve">support électronique. </w:t>
      </w:r>
    </w:p>
    <w:p w14:paraId="5284C67A" w14:textId="77777777" w:rsidR="007C75F2" w:rsidRDefault="007C75F2" w:rsidP="00EA7C1C">
      <w:pPr>
        <w:spacing w:after="0" w:line="288" w:lineRule="auto"/>
        <w:jc w:val="both"/>
        <w:rPr>
          <w:rFonts w:ascii="Times New Roman" w:hAnsi="Times New Roman"/>
          <w:sz w:val="24"/>
          <w:szCs w:val="24"/>
          <w:lang w:val="fr-BE"/>
        </w:rPr>
      </w:pPr>
    </w:p>
    <w:p w14:paraId="3305C016" w14:textId="77777777" w:rsidR="00EA7C1C" w:rsidRPr="00A9487A" w:rsidRDefault="00EA7C1C" w:rsidP="00EA7C1C">
      <w:pPr>
        <w:spacing w:after="0" w:line="288" w:lineRule="auto"/>
        <w:jc w:val="both"/>
        <w:rPr>
          <w:rFonts w:ascii="Times New Roman" w:hAnsi="Times New Roman"/>
          <w:sz w:val="24"/>
          <w:szCs w:val="24"/>
          <w:lang w:val="fr-BE"/>
        </w:rPr>
      </w:pPr>
    </w:p>
    <w:p w14:paraId="08DA765D" w14:textId="2AFAA50B" w:rsidR="00A9487A" w:rsidRDefault="00A9487A" w:rsidP="00EA7C1C">
      <w:pPr>
        <w:spacing w:after="0" w:line="288" w:lineRule="auto"/>
        <w:jc w:val="both"/>
        <w:rPr>
          <w:rFonts w:ascii="Times New Roman" w:eastAsiaTheme="minorHAnsi" w:hAnsi="Times New Roman"/>
          <w:sz w:val="24"/>
          <w:szCs w:val="24"/>
          <w:lang w:val="fr-BE"/>
        </w:rPr>
      </w:pPr>
      <w:r w:rsidRPr="00A9487A">
        <w:rPr>
          <w:rFonts w:ascii="Times New Roman" w:eastAsiaTheme="minorHAnsi" w:hAnsi="Times New Roman"/>
          <w:b/>
          <w:color w:val="5B9BD5" w:themeColor="accent1"/>
          <w:sz w:val="24"/>
          <w:szCs w:val="24"/>
          <w:lang w:val="fr-BE"/>
        </w:rPr>
        <w:lastRenderedPageBreak/>
        <w:t>SESSION PLENIERE AU PARLEMENT EUROPEEN, HOLLANDE ET MERKEL APPELLENT A PLUS D’EUROPE</w:t>
      </w:r>
      <w:r w:rsidRPr="00A9487A">
        <w:rPr>
          <w:rFonts w:ascii="Times New Roman" w:eastAsiaTheme="minorHAnsi" w:hAnsi="Times New Roman"/>
          <w:color w:val="5B9BD5" w:themeColor="accent1"/>
          <w:sz w:val="24"/>
          <w:szCs w:val="24"/>
          <w:lang w:val="fr-BE"/>
        </w:rPr>
        <w:t> </w:t>
      </w:r>
      <w:r w:rsidRPr="00A9487A">
        <w:rPr>
          <w:rFonts w:ascii="Times New Roman" w:eastAsiaTheme="minorHAnsi" w:hAnsi="Times New Roman"/>
          <w:sz w:val="24"/>
          <w:szCs w:val="24"/>
          <w:lang w:val="fr-BE"/>
        </w:rPr>
        <w:t>: Mercredi 7 septembre, le Président de la République française et la Chancelière allemande se sont adressés aux eurodéputés réunis e</w:t>
      </w:r>
      <w:r w:rsidR="00BA1645">
        <w:rPr>
          <w:rFonts w:ascii="Times New Roman" w:eastAsiaTheme="minorHAnsi" w:hAnsi="Times New Roman"/>
          <w:sz w:val="24"/>
          <w:szCs w:val="24"/>
          <w:lang w:val="fr-BE"/>
        </w:rPr>
        <w:t>n session plénière à Strasbourg</w:t>
      </w:r>
      <w:r w:rsidRPr="00A9487A">
        <w:rPr>
          <w:rFonts w:ascii="Times New Roman" w:eastAsiaTheme="minorHAnsi" w:hAnsi="Times New Roman"/>
          <w:sz w:val="24"/>
          <w:szCs w:val="24"/>
          <w:lang w:val="fr-BE"/>
        </w:rPr>
        <w:t>. Afin de répondre aux différentes crises qui touchent le cont</w:t>
      </w:r>
      <w:r w:rsidR="00BA1645">
        <w:rPr>
          <w:rFonts w:ascii="Times New Roman" w:eastAsiaTheme="minorHAnsi" w:hAnsi="Times New Roman"/>
          <w:sz w:val="24"/>
          <w:szCs w:val="24"/>
          <w:lang w:val="fr-BE"/>
        </w:rPr>
        <w:t>inent européen, François Hollande et Angela Merkel</w:t>
      </w:r>
      <w:r w:rsidRPr="00A9487A">
        <w:rPr>
          <w:rFonts w:ascii="Times New Roman" w:eastAsiaTheme="minorHAnsi" w:hAnsi="Times New Roman"/>
          <w:sz w:val="24"/>
          <w:szCs w:val="24"/>
          <w:lang w:val="fr-BE"/>
        </w:rPr>
        <w:t xml:space="preserve"> ont réaffirmé la nécessaire poursuite de l’intégration politique dans le respect des valeurs fondatrices de l’UE. </w:t>
      </w:r>
      <w:r w:rsidRPr="00A9487A">
        <w:rPr>
          <w:rFonts w:ascii="Times New Roman" w:eastAsiaTheme="minorHAnsi" w:hAnsi="Times New Roman"/>
          <w:i/>
          <w:iCs/>
          <w:sz w:val="24"/>
          <w:szCs w:val="24"/>
          <w:lang w:val="fr-BE"/>
        </w:rPr>
        <w:t>« Il ne faut pas être tenté d’agir au niveau des Etats-nations. Nous avons besoin de plus d’Europe. L’Allemagne et la France y sont prêtes »</w:t>
      </w:r>
      <w:r w:rsidRPr="00A9487A">
        <w:rPr>
          <w:rFonts w:ascii="Times New Roman" w:eastAsiaTheme="minorHAnsi" w:hAnsi="Times New Roman"/>
          <w:sz w:val="24"/>
          <w:szCs w:val="24"/>
          <w:lang w:val="fr-BE"/>
        </w:rPr>
        <w:t xml:space="preserve"> a </w:t>
      </w:r>
      <w:bookmarkStart w:id="0" w:name="_GoBack"/>
      <w:bookmarkEnd w:id="0"/>
      <w:r w:rsidRPr="00A9487A">
        <w:rPr>
          <w:rFonts w:ascii="Times New Roman" w:eastAsiaTheme="minorHAnsi" w:hAnsi="Times New Roman"/>
          <w:sz w:val="24"/>
          <w:szCs w:val="24"/>
          <w:lang w:val="fr-BE"/>
        </w:rPr>
        <w:t>déclaré Angela Merkel. Le couple franco-allemand appelle les Etats membres à plus de solidarité et de responsabilité pour répondre à la crise de</w:t>
      </w:r>
      <w:r>
        <w:rPr>
          <w:rFonts w:ascii="Times New Roman" w:eastAsiaTheme="minorHAnsi" w:hAnsi="Times New Roman"/>
          <w:sz w:val="24"/>
          <w:szCs w:val="24"/>
          <w:lang w:val="fr-BE"/>
        </w:rPr>
        <w:t>s</w:t>
      </w:r>
      <w:r w:rsidRPr="00A9487A">
        <w:rPr>
          <w:rFonts w:ascii="Times New Roman" w:eastAsiaTheme="minorHAnsi" w:hAnsi="Times New Roman"/>
          <w:sz w:val="24"/>
          <w:szCs w:val="24"/>
          <w:lang w:val="fr-BE"/>
        </w:rPr>
        <w:t xml:space="preserve"> réfugiés. Une solidarité envers les réfugiés et les Etats membres qui les accueillent mais également un soutien aux Etats situés aux frontières de l’Europe, comme la Turquie qui reçoit sur son sol des milliers de migrants. Ce discours a été suivi par un débat au cours duquel un représentant de chaque groupe politique a pris parole. Mis à part les partis eurosceptiques, la grande majorité des eurodéputés ont été conquis par ce discours commun. </w:t>
      </w:r>
    </w:p>
    <w:p w14:paraId="7EA6E621" w14:textId="77777777" w:rsidR="00EA7C1C" w:rsidRDefault="00EA7C1C" w:rsidP="00EA7C1C">
      <w:pPr>
        <w:spacing w:after="160" w:line="288" w:lineRule="auto"/>
        <w:jc w:val="both"/>
        <w:rPr>
          <w:rFonts w:ascii="Times New Roman" w:eastAsiaTheme="minorHAnsi" w:hAnsi="Times New Roman"/>
          <w:sz w:val="24"/>
          <w:szCs w:val="24"/>
          <w:lang w:val="fr-BE"/>
        </w:rPr>
      </w:pPr>
    </w:p>
    <w:p w14:paraId="7088916D" w14:textId="77777777" w:rsidR="00EA7C1C" w:rsidRPr="00A9487A" w:rsidRDefault="00EA7C1C" w:rsidP="00EA7C1C">
      <w:pPr>
        <w:spacing w:after="0" w:line="288" w:lineRule="auto"/>
        <w:jc w:val="both"/>
        <w:rPr>
          <w:rFonts w:ascii="Times New Roman" w:eastAsiaTheme="minorHAnsi" w:hAnsi="Times New Roman"/>
          <w:sz w:val="24"/>
          <w:szCs w:val="24"/>
          <w:lang w:val="fr-BE"/>
        </w:rPr>
      </w:pPr>
    </w:p>
    <w:p w14:paraId="274FB8E3" w14:textId="254A9107" w:rsidR="00785BE8" w:rsidRDefault="00785BE8" w:rsidP="00EA7C1C">
      <w:pPr>
        <w:spacing w:after="0" w:line="288" w:lineRule="auto"/>
        <w:jc w:val="both"/>
        <w:rPr>
          <w:rFonts w:ascii="Times New Roman" w:eastAsiaTheme="minorHAnsi" w:hAnsi="Times New Roman"/>
          <w:sz w:val="24"/>
          <w:szCs w:val="24"/>
          <w:lang w:val="fr-BE"/>
        </w:rPr>
      </w:pPr>
      <w:r w:rsidRPr="00785BE8">
        <w:rPr>
          <w:rFonts w:ascii="Times New Roman" w:eastAsiaTheme="minorHAnsi" w:hAnsi="Times New Roman"/>
          <w:b/>
          <w:color w:val="5B9BD5" w:themeColor="accent1"/>
          <w:sz w:val="24"/>
          <w:szCs w:val="24"/>
          <w:lang w:val="fr-BE"/>
        </w:rPr>
        <w:t>LA COMMISSION ET LA HAUTE REPRÉSENTANTE DE L’UNI</w:t>
      </w:r>
      <w:r>
        <w:rPr>
          <w:rFonts w:ascii="Times New Roman" w:eastAsiaTheme="minorHAnsi" w:hAnsi="Times New Roman"/>
          <w:b/>
          <w:color w:val="5B9BD5" w:themeColor="accent1"/>
          <w:sz w:val="24"/>
          <w:szCs w:val="24"/>
          <w:lang w:val="fr-BE"/>
        </w:rPr>
        <w:t>ON POUR LES AFFAIRES ÉTRANGÈRES ET LA SÉCURITÉ</w:t>
      </w:r>
      <w:r w:rsidRPr="00785BE8">
        <w:rPr>
          <w:rFonts w:ascii="Times New Roman" w:eastAsiaTheme="minorHAnsi" w:hAnsi="Times New Roman"/>
          <w:b/>
          <w:color w:val="5B9BD5" w:themeColor="accent1"/>
          <w:sz w:val="24"/>
          <w:szCs w:val="24"/>
          <w:lang w:val="fr-BE"/>
        </w:rPr>
        <w:t xml:space="preserve"> LANCENT UNE CONSULTATION PUBLIQUE RELATIVE AU PARTENARIAT ENTRE L’UNION EUROPÉENNE ET LES PAYS ACP APRÈS 2020 :</w:t>
      </w:r>
      <w:r w:rsidRPr="00785BE8">
        <w:rPr>
          <w:rFonts w:ascii="Times New Roman" w:hAnsi="Times New Roman"/>
          <w:sz w:val="24"/>
          <w:szCs w:val="24"/>
          <w:lang w:val="fr-BE"/>
        </w:rPr>
        <w:t xml:space="preserve"> </w:t>
      </w:r>
      <w:r w:rsidRPr="00785BE8">
        <w:rPr>
          <w:rFonts w:ascii="Times New Roman" w:eastAsiaTheme="minorHAnsi" w:hAnsi="Times New Roman"/>
          <w:sz w:val="24"/>
          <w:szCs w:val="24"/>
          <w:lang w:val="fr-BE"/>
        </w:rPr>
        <w:t>L’accord de Cotonou conclu entre l’UE et les pays d’Afrique, des Caraïbes et du Pacifique (ACP) en 2000 expirera en 2020. Cet accord de partenariat comprend 3 volets : une dimension politique, une dimension de coopération au développement ainsi qu’une dimension de coopération économique et commerciale. Cette dernière a pris fin en 2007 et a été remplacée par plusieurs Accords de Partenariat Economiques (APE) conclu</w:t>
      </w:r>
      <w:r>
        <w:rPr>
          <w:rFonts w:ascii="Times New Roman" w:eastAsiaTheme="minorHAnsi" w:hAnsi="Times New Roman"/>
          <w:sz w:val="24"/>
          <w:szCs w:val="24"/>
          <w:lang w:val="fr-BE"/>
        </w:rPr>
        <w:t>s</w:t>
      </w:r>
      <w:r w:rsidRPr="00785BE8">
        <w:rPr>
          <w:rFonts w:ascii="Times New Roman" w:eastAsiaTheme="minorHAnsi" w:hAnsi="Times New Roman"/>
          <w:sz w:val="24"/>
          <w:szCs w:val="24"/>
          <w:lang w:val="fr-BE"/>
        </w:rPr>
        <w:t xml:space="preserve"> avec ces pays mais l’accord de Cotonou constitue </w:t>
      </w:r>
      <w:r>
        <w:rPr>
          <w:rFonts w:ascii="Times New Roman" w:eastAsiaTheme="minorHAnsi" w:hAnsi="Times New Roman"/>
          <w:sz w:val="24"/>
          <w:szCs w:val="24"/>
          <w:lang w:val="fr-BE"/>
        </w:rPr>
        <w:t xml:space="preserve">aujourd’hui </w:t>
      </w:r>
      <w:r w:rsidRPr="00785BE8">
        <w:rPr>
          <w:rFonts w:ascii="Times New Roman" w:eastAsiaTheme="minorHAnsi" w:hAnsi="Times New Roman"/>
          <w:sz w:val="24"/>
          <w:szCs w:val="24"/>
          <w:lang w:val="fr-BE"/>
        </w:rPr>
        <w:t>encore le cadre des relations commerciales entre l’UE et l’ensemble des pays ACP. Une consultation publique</w:t>
      </w:r>
      <w:r>
        <w:rPr>
          <w:rFonts w:ascii="Times New Roman" w:eastAsiaTheme="minorHAnsi" w:hAnsi="Times New Roman"/>
          <w:sz w:val="24"/>
          <w:szCs w:val="24"/>
          <w:lang w:val="fr-BE"/>
        </w:rPr>
        <w:t xml:space="preserve"> sur le </w:t>
      </w:r>
      <w:r w:rsidRPr="00785BE8">
        <w:rPr>
          <w:rFonts w:ascii="Times New Roman" w:eastAsiaTheme="minorHAnsi" w:hAnsi="Times New Roman"/>
          <w:sz w:val="24"/>
          <w:szCs w:val="24"/>
          <w:lang w:val="fr-BE"/>
        </w:rPr>
        <w:t>partenariat avec les pays ACP après 2020 a été lancé le 6 octobre et restera ouverte 12 semaines soit jusqu’au 22 décembre 2012. Cette consultation porte sur</w:t>
      </w:r>
      <w:r w:rsidR="005D7B04">
        <w:rPr>
          <w:rFonts w:ascii="Times New Roman" w:eastAsiaTheme="minorHAnsi" w:hAnsi="Times New Roman"/>
          <w:sz w:val="24"/>
          <w:szCs w:val="24"/>
          <w:lang w:val="fr-BE"/>
        </w:rPr>
        <w:t xml:space="preserve"> plus de 40 questions concernant notamment </w:t>
      </w:r>
      <w:r w:rsidRPr="00785BE8">
        <w:rPr>
          <w:rFonts w:ascii="Times New Roman" w:eastAsiaTheme="minorHAnsi" w:hAnsi="Times New Roman"/>
          <w:sz w:val="24"/>
          <w:szCs w:val="24"/>
          <w:lang w:val="fr-BE"/>
        </w:rPr>
        <w:t>la sécurité, la croissance durable, la coopération politique, les migrations mais</w:t>
      </w:r>
      <w:r w:rsidR="005D7B04">
        <w:rPr>
          <w:rFonts w:ascii="Times New Roman" w:eastAsiaTheme="minorHAnsi" w:hAnsi="Times New Roman"/>
          <w:sz w:val="24"/>
          <w:szCs w:val="24"/>
          <w:lang w:val="fr-BE"/>
        </w:rPr>
        <w:t xml:space="preserve"> contient</w:t>
      </w:r>
      <w:r w:rsidRPr="00785BE8">
        <w:rPr>
          <w:rFonts w:ascii="Times New Roman" w:eastAsiaTheme="minorHAnsi" w:hAnsi="Times New Roman"/>
          <w:sz w:val="24"/>
          <w:szCs w:val="24"/>
          <w:lang w:val="fr-BE"/>
        </w:rPr>
        <w:t xml:space="preserve"> aussi des questions de </w:t>
      </w:r>
      <w:r w:rsidR="005D7B04">
        <w:rPr>
          <w:rFonts w:ascii="Times New Roman" w:eastAsiaTheme="minorHAnsi" w:hAnsi="Times New Roman"/>
          <w:sz w:val="24"/>
          <w:szCs w:val="24"/>
          <w:lang w:val="fr-BE"/>
        </w:rPr>
        <w:t xml:space="preserve">coopération de développement ainsi que </w:t>
      </w:r>
      <w:r w:rsidRPr="00785BE8">
        <w:rPr>
          <w:rFonts w:ascii="Times New Roman" w:eastAsiaTheme="minorHAnsi" w:hAnsi="Times New Roman"/>
          <w:sz w:val="24"/>
          <w:szCs w:val="24"/>
          <w:lang w:val="fr-BE"/>
        </w:rPr>
        <w:t>des questions commerciales. L’objectif poursuivi est d’une part de préparer l’analyse de l’accord de partenariat UE-ACP prévue par la Commission pour 2016 et d’autre part d</w:t>
      </w:r>
      <w:r w:rsidR="005D7B04">
        <w:rPr>
          <w:rFonts w:ascii="Times New Roman" w:eastAsiaTheme="minorHAnsi" w:hAnsi="Times New Roman"/>
          <w:sz w:val="24"/>
          <w:szCs w:val="24"/>
          <w:lang w:val="fr-BE"/>
        </w:rPr>
        <w:t>’ouvrir le débat autour de l’avenir</w:t>
      </w:r>
      <w:r w:rsidRPr="00785BE8">
        <w:rPr>
          <w:rFonts w:ascii="Times New Roman" w:eastAsiaTheme="minorHAnsi" w:hAnsi="Times New Roman"/>
          <w:sz w:val="24"/>
          <w:szCs w:val="24"/>
          <w:lang w:val="fr-BE"/>
        </w:rPr>
        <w:t xml:space="preserve"> de la coopération entre l’Union et les pays ACP.</w:t>
      </w:r>
      <w:r>
        <w:rPr>
          <w:rFonts w:ascii="Times New Roman" w:eastAsiaTheme="minorHAnsi" w:hAnsi="Times New Roman"/>
          <w:sz w:val="24"/>
          <w:szCs w:val="24"/>
          <w:lang w:val="fr-BE"/>
        </w:rPr>
        <w:t xml:space="preserve"> </w:t>
      </w:r>
    </w:p>
    <w:p w14:paraId="79C61C78" w14:textId="77777777" w:rsidR="00973E1E" w:rsidRDefault="00785BE8" w:rsidP="00EA7C1C">
      <w:pPr>
        <w:spacing w:after="0" w:line="288" w:lineRule="auto"/>
        <w:rPr>
          <w:rFonts w:ascii="Times New Roman" w:eastAsiaTheme="minorHAnsi" w:hAnsi="Times New Roman"/>
          <w:sz w:val="24"/>
          <w:szCs w:val="24"/>
          <w:lang w:val="fr-BE"/>
        </w:rPr>
      </w:pPr>
      <w:r>
        <w:rPr>
          <w:rFonts w:ascii="Times New Roman" w:eastAsiaTheme="minorHAnsi" w:hAnsi="Times New Roman"/>
          <w:sz w:val="24"/>
          <w:szCs w:val="24"/>
          <w:lang w:val="fr-BE"/>
        </w:rPr>
        <w:t xml:space="preserve">Vous avez accès à la consultation publique à partir du lien suivant : </w:t>
      </w:r>
      <w:hyperlink r:id="rId8" w:history="1">
        <w:r w:rsidRPr="00741B34">
          <w:rPr>
            <w:rStyle w:val="Lienhypertexte"/>
            <w:rFonts w:ascii="Times New Roman" w:eastAsiaTheme="minorHAnsi" w:hAnsi="Times New Roman"/>
            <w:sz w:val="24"/>
            <w:szCs w:val="24"/>
            <w:lang w:val="fr-BE"/>
          </w:rPr>
          <w:t>http://ec.europa.eu/europeaid/public-consultation-eu-acp-new-partnership_en</w:t>
        </w:r>
      </w:hyperlink>
      <w:r>
        <w:rPr>
          <w:rFonts w:ascii="Times New Roman" w:eastAsiaTheme="minorHAnsi" w:hAnsi="Times New Roman"/>
          <w:sz w:val="24"/>
          <w:szCs w:val="24"/>
          <w:lang w:val="fr-BE"/>
        </w:rPr>
        <w:t xml:space="preserve"> </w:t>
      </w:r>
    </w:p>
    <w:p w14:paraId="3586257F" w14:textId="77777777" w:rsidR="00EA7C1C" w:rsidRDefault="00EA7C1C" w:rsidP="00EA7C1C">
      <w:pPr>
        <w:spacing w:after="0" w:line="288" w:lineRule="auto"/>
        <w:rPr>
          <w:rFonts w:ascii="Times New Roman" w:eastAsiaTheme="minorHAnsi" w:hAnsi="Times New Roman"/>
          <w:sz w:val="24"/>
          <w:szCs w:val="24"/>
          <w:lang w:val="fr-BE"/>
        </w:rPr>
      </w:pPr>
    </w:p>
    <w:p w14:paraId="76595538" w14:textId="77777777" w:rsidR="00EA7C1C" w:rsidRDefault="00EA7C1C" w:rsidP="00EA7C1C">
      <w:pPr>
        <w:spacing w:after="0" w:line="288" w:lineRule="auto"/>
        <w:rPr>
          <w:rFonts w:ascii="Times New Roman" w:eastAsiaTheme="minorHAnsi" w:hAnsi="Times New Roman"/>
          <w:sz w:val="24"/>
          <w:szCs w:val="24"/>
          <w:lang w:val="fr-BE"/>
        </w:rPr>
      </w:pPr>
    </w:p>
    <w:p w14:paraId="74B509D1" w14:textId="77777777" w:rsidR="003E4AE7" w:rsidRDefault="003E4AE7">
      <w:pPr>
        <w:spacing w:after="160" w:line="259" w:lineRule="auto"/>
        <w:rPr>
          <w:rFonts w:ascii="Times New Roman" w:eastAsiaTheme="minorHAnsi" w:hAnsi="Times New Roman"/>
          <w:b/>
          <w:color w:val="5B9BD5" w:themeColor="accent1"/>
          <w:sz w:val="24"/>
          <w:szCs w:val="24"/>
          <w:lang w:val="fr-BE"/>
        </w:rPr>
      </w:pPr>
      <w:r>
        <w:rPr>
          <w:rFonts w:ascii="Times New Roman" w:eastAsiaTheme="minorHAnsi" w:hAnsi="Times New Roman"/>
          <w:b/>
          <w:color w:val="5B9BD5" w:themeColor="accent1"/>
          <w:sz w:val="24"/>
          <w:szCs w:val="24"/>
          <w:lang w:val="fr-BE"/>
        </w:rPr>
        <w:br w:type="page"/>
      </w:r>
    </w:p>
    <w:p w14:paraId="7C0A1B49" w14:textId="7F50041E" w:rsidR="00C440D4" w:rsidRDefault="00C440D4" w:rsidP="00EA7C1C">
      <w:pPr>
        <w:spacing w:line="288" w:lineRule="auto"/>
        <w:jc w:val="both"/>
        <w:rPr>
          <w:rFonts w:ascii="Times New Roman" w:eastAsiaTheme="minorHAnsi" w:hAnsi="Times New Roman"/>
          <w:lang w:val="fr-BE"/>
        </w:rPr>
      </w:pPr>
      <w:r w:rsidRPr="00EA7C1C">
        <w:rPr>
          <w:rFonts w:ascii="Times New Roman" w:eastAsiaTheme="minorHAnsi" w:hAnsi="Times New Roman"/>
          <w:b/>
          <w:color w:val="5B9BD5" w:themeColor="accent1"/>
          <w:sz w:val="24"/>
          <w:szCs w:val="24"/>
          <w:lang w:val="fr-BE"/>
        </w:rPr>
        <w:lastRenderedPageBreak/>
        <w:t>LE PARLEMENT EUROPEEN VOTE EN FAVEUR D’UNE ADAPTATION, POUR LES RUP, DE LA DIRECTIVE RELATIVE A LA LIMITATION DES EMISSIONS DE CERTAINS POLLUANTS DANS L’ATMOSPHERE EN PROVENANCE DES INSTALLATIONS DE COMBUSTION MOYENNES :</w:t>
      </w:r>
      <w:r w:rsidRPr="00C440D4">
        <w:rPr>
          <w:color w:val="2E74B5"/>
          <w:lang w:val="fr-BE"/>
        </w:rPr>
        <w:t xml:space="preserve"> </w:t>
      </w:r>
      <w:r w:rsidRPr="00EA7C1C">
        <w:rPr>
          <w:rFonts w:ascii="Times New Roman" w:eastAsiaTheme="minorHAnsi" w:hAnsi="Times New Roman"/>
          <w:sz w:val="24"/>
          <w:szCs w:val="24"/>
          <w:lang w:val="fr-BE"/>
        </w:rPr>
        <w:t xml:space="preserve">Le Parlement européen, réuni en session plénière le 7 octobre dernier, a adopté une résolution sur la proposition de directive relative à la limitation des émissions de certains polluants dans l’atmosphère en provenance des installations de combustion moyennes, de générateurs électriques ainsi que les systèmes de chauffage et de climatisation à usage domestique, résidentiel et industriel. Deux amendements concernaient les RUP: ils prévoyaient que les valeurs limites d’émission énoncées au sein de l’annexe II de la directive ne s'appliqueraient pas à certaines installations des RUP en raison des problèmes techniques et logistiques liés à leur isolement. Ainsi, il appartiendra aux Etats membres concernés de fixer les valeurs limites d’émission pour ces installations en vue de réduire leurs émissions atmosphériques et les risques que celles-ci sont susceptibles de présenter pour la santé humaine et l’environnement. Cette exception est destinée à prendre en compte les spécificités des RUP et à trouver un équilibre entre les difficultés techniques rencontrées par nos régions (difficultés d’approvisionnement, conditions météorologiques,…) et les défis environnementaux et sanitaires liés à la qualité de l’air. Ces amendements ont été adoptés par 599 voix pour, 96 contre et 9 abstentions. Le texte, dans son intégralité, a quant à lui été approuvé par 623 voix pour, 70 contre et 12 abstentions. </w:t>
      </w:r>
      <w:r w:rsidR="003E4AE7">
        <w:rPr>
          <w:rFonts w:ascii="Times New Roman" w:eastAsiaTheme="minorHAnsi" w:hAnsi="Times New Roman"/>
          <w:sz w:val="24"/>
          <w:szCs w:val="24"/>
          <w:lang w:val="fr-BE"/>
        </w:rPr>
        <w:t>Conformément à la procédure législative ordinaire (</w:t>
      </w:r>
      <w:r w:rsidR="00BA1645">
        <w:rPr>
          <w:rFonts w:ascii="Times New Roman" w:eastAsiaTheme="minorHAnsi" w:hAnsi="Times New Roman"/>
          <w:sz w:val="24"/>
          <w:szCs w:val="24"/>
          <w:lang w:val="fr-BE"/>
        </w:rPr>
        <w:t>codécision</w:t>
      </w:r>
      <w:r w:rsidR="003E4AE7">
        <w:rPr>
          <w:rFonts w:ascii="Times New Roman" w:eastAsiaTheme="minorHAnsi" w:hAnsi="Times New Roman"/>
          <w:sz w:val="24"/>
          <w:szCs w:val="24"/>
          <w:lang w:val="fr-BE"/>
        </w:rPr>
        <w:t>)</w:t>
      </w:r>
      <w:r w:rsidR="00BA1645">
        <w:rPr>
          <w:rFonts w:ascii="Times New Roman" w:eastAsiaTheme="minorHAnsi" w:hAnsi="Times New Roman"/>
          <w:sz w:val="24"/>
          <w:szCs w:val="24"/>
          <w:lang w:val="fr-BE"/>
        </w:rPr>
        <w:t>,</w:t>
      </w:r>
      <w:r w:rsidR="003E4AE7">
        <w:rPr>
          <w:rFonts w:ascii="Times New Roman" w:eastAsiaTheme="minorHAnsi" w:hAnsi="Times New Roman"/>
          <w:sz w:val="24"/>
          <w:szCs w:val="24"/>
          <w:lang w:val="fr-BE"/>
        </w:rPr>
        <w:t xml:space="preserve"> </w:t>
      </w:r>
      <w:r w:rsidR="00BA1645">
        <w:rPr>
          <w:rFonts w:ascii="Times New Roman" w:eastAsiaTheme="minorHAnsi" w:hAnsi="Times New Roman"/>
          <w:sz w:val="24"/>
          <w:szCs w:val="24"/>
          <w:lang w:val="fr-BE"/>
        </w:rPr>
        <w:t>l</w:t>
      </w:r>
      <w:r w:rsidRPr="00EA7C1C">
        <w:rPr>
          <w:rFonts w:ascii="Times New Roman" w:eastAsiaTheme="minorHAnsi" w:hAnsi="Times New Roman"/>
          <w:sz w:val="24"/>
          <w:szCs w:val="24"/>
          <w:lang w:val="fr-BE"/>
        </w:rPr>
        <w:t>e texte doit désor</w:t>
      </w:r>
      <w:r w:rsidR="00BA1645">
        <w:rPr>
          <w:rFonts w:ascii="Times New Roman" w:eastAsiaTheme="minorHAnsi" w:hAnsi="Times New Roman"/>
          <w:sz w:val="24"/>
          <w:szCs w:val="24"/>
          <w:lang w:val="fr-BE"/>
        </w:rPr>
        <w:t>mais passer par le Conseil afin d’être définitivement adopté</w:t>
      </w:r>
      <w:r w:rsidRPr="00EA7C1C">
        <w:rPr>
          <w:rFonts w:ascii="Times New Roman" w:eastAsiaTheme="minorHAnsi" w:hAnsi="Times New Roman"/>
          <w:sz w:val="24"/>
          <w:szCs w:val="24"/>
          <w:lang w:val="fr-BE"/>
        </w:rPr>
        <w:t>.</w:t>
      </w:r>
    </w:p>
    <w:p w14:paraId="2A2FF5A5" w14:textId="77777777" w:rsidR="00C440D4" w:rsidRDefault="00C440D4" w:rsidP="00EA7C1C">
      <w:pPr>
        <w:spacing w:after="0" w:line="288" w:lineRule="auto"/>
        <w:rPr>
          <w:rFonts w:ascii="Times New Roman" w:eastAsiaTheme="minorHAnsi" w:hAnsi="Times New Roman"/>
          <w:sz w:val="24"/>
          <w:szCs w:val="24"/>
          <w:lang w:val="fr-BE"/>
        </w:rPr>
      </w:pPr>
    </w:p>
    <w:p w14:paraId="33A3BB25" w14:textId="79E65A97" w:rsidR="001B512A" w:rsidRPr="00973E1E" w:rsidRDefault="00973E1E" w:rsidP="00973E1E">
      <w:pPr>
        <w:spacing w:after="160" w:line="259" w:lineRule="auto"/>
        <w:rPr>
          <w:rFonts w:ascii="Times New Roman" w:eastAsiaTheme="minorHAnsi" w:hAnsi="Times New Roman"/>
          <w:sz w:val="24"/>
          <w:szCs w:val="24"/>
          <w:lang w:val="fr-BE"/>
        </w:rPr>
      </w:pPr>
      <w:r>
        <w:rPr>
          <w:rFonts w:ascii="Times New Roman" w:eastAsiaTheme="minorHAnsi" w:hAnsi="Times New Roman"/>
          <w:sz w:val="24"/>
          <w:szCs w:val="24"/>
          <w:lang w:val="fr-BE"/>
        </w:rPr>
        <w:br w:type="page"/>
      </w:r>
      <w:r w:rsidR="00DD021B" w:rsidRPr="00826FBA">
        <w:rPr>
          <w:rFonts w:ascii="Times New Roman" w:eastAsiaTheme="minorHAnsi" w:hAnsi="Times New Roman"/>
          <w:b/>
          <w:bCs/>
          <w:color w:val="5B9BD5" w:themeColor="accent1"/>
          <w:sz w:val="24"/>
          <w:szCs w:val="24"/>
          <w:lang w:val="fr-BE" w:eastAsia="fr-BE"/>
        </w:rPr>
        <w:lastRenderedPageBreak/>
        <w:t>A</w:t>
      </w:r>
      <w:r w:rsidR="00203EE4" w:rsidRPr="00826FBA">
        <w:rPr>
          <w:rFonts w:ascii="Times New Roman" w:eastAsiaTheme="minorHAnsi" w:hAnsi="Times New Roman"/>
          <w:b/>
          <w:bCs/>
          <w:color w:val="5B9BD5" w:themeColor="accent1"/>
          <w:sz w:val="24"/>
          <w:szCs w:val="24"/>
          <w:lang w:val="fr-BE" w:eastAsia="fr-BE"/>
        </w:rPr>
        <w:t xml:space="preserve">GENDA DE LA SEMAINE DU </w:t>
      </w:r>
      <w:r w:rsidR="009D037C">
        <w:rPr>
          <w:rFonts w:ascii="Times New Roman" w:eastAsiaTheme="minorHAnsi" w:hAnsi="Times New Roman"/>
          <w:b/>
          <w:bCs/>
          <w:color w:val="5B9BD5" w:themeColor="accent1"/>
          <w:sz w:val="24"/>
          <w:szCs w:val="24"/>
          <w:lang w:val="fr-BE" w:eastAsia="fr-BE"/>
        </w:rPr>
        <w:t>12</w:t>
      </w:r>
      <w:r w:rsidR="00873977">
        <w:rPr>
          <w:rFonts w:ascii="Times New Roman" w:eastAsiaTheme="minorHAnsi" w:hAnsi="Times New Roman"/>
          <w:b/>
          <w:bCs/>
          <w:color w:val="5B9BD5" w:themeColor="accent1"/>
          <w:sz w:val="24"/>
          <w:szCs w:val="24"/>
          <w:lang w:val="fr-BE" w:eastAsia="fr-BE"/>
        </w:rPr>
        <w:t xml:space="preserve"> </w:t>
      </w:r>
      <w:r w:rsidR="004B64EC" w:rsidRPr="00826FBA">
        <w:rPr>
          <w:rFonts w:ascii="Times New Roman" w:eastAsiaTheme="minorHAnsi" w:hAnsi="Times New Roman"/>
          <w:b/>
          <w:bCs/>
          <w:color w:val="5B9BD5" w:themeColor="accent1"/>
          <w:sz w:val="24"/>
          <w:szCs w:val="24"/>
          <w:lang w:val="fr-BE" w:eastAsia="fr-BE"/>
        </w:rPr>
        <w:t xml:space="preserve">AU </w:t>
      </w:r>
      <w:r w:rsidR="009D037C">
        <w:rPr>
          <w:rFonts w:ascii="Times New Roman" w:eastAsiaTheme="minorHAnsi" w:hAnsi="Times New Roman"/>
          <w:b/>
          <w:bCs/>
          <w:color w:val="5B9BD5" w:themeColor="accent1"/>
          <w:sz w:val="24"/>
          <w:szCs w:val="24"/>
          <w:lang w:val="fr-BE" w:eastAsia="fr-BE"/>
        </w:rPr>
        <w:t>16</w:t>
      </w:r>
      <w:r w:rsidR="00873977">
        <w:rPr>
          <w:rFonts w:ascii="Times New Roman" w:eastAsiaTheme="minorHAnsi" w:hAnsi="Times New Roman"/>
          <w:b/>
          <w:bCs/>
          <w:color w:val="5B9BD5" w:themeColor="accent1"/>
          <w:sz w:val="24"/>
          <w:szCs w:val="24"/>
          <w:lang w:val="fr-BE" w:eastAsia="fr-BE"/>
        </w:rPr>
        <w:t xml:space="preserve"> OCTOBRE</w:t>
      </w:r>
      <w:r w:rsidR="00203EE4" w:rsidRPr="00826FBA">
        <w:rPr>
          <w:rFonts w:ascii="Times New Roman" w:eastAsiaTheme="minorHAnsi" w:hAnsi="Times New Roman"/>
          <w:b/>
          <w:bCs/>
          <w:color w:val="5B9BD5" w:themeColor="accent1"/>
          <w:sz w:val="24"/>
          <w:szCs w:val="24"/>
          <w:lang w:val="fr-BE" w:eastAsia="fr-BE"/>
        </w:rPr>
        <w:t xml:space="preserve"> 2015</w:t>
      </w:r>
    </w:p>
    <w:p w14:paraId="2B4F52B5" w14:textId="77777777" w:rsidR="00826FBA" w:rsidRPr="00826FBA" w:rsidRDefault="00826FBA" w:rsidP="001B512A">
      <w:pPr>
        <w:spacing w:after="0" w:line="240" w:lineRule="auto"/>
        <w:rPr>
          <w:rFonts w:ascii="Times New Roman" w:eastAsiaTheme="minorHAnsi" w:hAnsi="Times New Roman"/>
          <w:b/>
          <w:bCs/>
          <w:color w:val="5B9BD5" w:themeColor="accent1"/>
          <w:sz w:val="28"/>
          <w:szCs w:val="24"/>
          <w:lang w:val="fr-BE" w:eastAsia="fr-BE"/>
        </w:rPr>
      </w:pPr>
    </w:p>
    <w:p w14:paraId="1D24C28C" w14:textId="77777777" w:rsidR="004B64EC" w:rsidRPr="005D1C6C" w:rsidRDefault="004B64EC"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14:paraId="662B1FED" w14:textId="77777777"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4831B4" w14:textId="77777777" w:rsidR="001B512A" w:rsidRPr="005D1C6C" w:rsidRDefault="001B512A" w:rsidP="00EC414A">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AA78CC0"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8CF6ABB"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3E5EA0"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14:paraId="6BC10008" w14:textId="77777777" w:rsidR="001B512A" w:rsidRPr="005D1C6C" w:rsidRDefault="001B512A" w:rsidP="00EC414A">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3E4AE7" w14:paraId="0F9A5608" w14:textId="77777777"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74AC07" w14:textId="77777777"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Lundi</w:t>
            </w:r>
          </w:p>
          <w:p w14:paraId="59F855B8" w14:textId="6FC49246" w:rsidR="001B512A" w:rsidRPr="005D1C6C" w:rsidRDefault="009D037C"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12</w:t>
            </w:r>
            <w:r w:rsidR="00BF75A2">
              <w:rPr>
                <w:rFonts w:ascii="Times New Roman" w:eastAsiaTheme="minorHAnsi" w:hAnsi="Times New Roman"/>
                <w:b/>
                <w:bCs/>
                <w:color w:val="000000"/>
                <w:sz w:val="24"/>
                <w:szCs w:val="24"/>
                <w:lang w:eastAsia="fr-BE"/>
              </w:rPr>
              <w:t>/</w:t>
            </w:r>
            <w:r>
              <w:rPr>
                <w:rFonts w:ascii="Times New Roman" w:eastAsiaTheme="minorHAnsi" w:hAnsi="Times New Roman"/>
                <w:b/>
                <w:bCs/>
                <w:color w:val="000000"/>
                <w:sz w:val="24"/>
                <w:szCs w:val="24"/>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33AC9878" w14:textId="6F37322B" w:rsidR="00EF4FD5" w:rsidRPr="00941FB9" w:rsidRDefault="009D037C" w:rsidP="00BA1645">
            <w:pPr>
              <w:spacing w:after="0"/>
              <w:jc w:val="center"/>
              <w:rPr>
                <w:rFonts w:ascii="Times New Roman" w:hAnsi="Times New Roman"/>
                <w:b/>
                <w:u w:val="single"/>
                <w:lang w:val="fr-BE" w:eastAsia="fr-BE"/>
              </w:rPr>
            </w:pPr>
            <w:r w:rsidRPr="00941FB9">
              <w:rPr>
                <w:rFonts w:ascii="Times New Roman" w:hAnsi="Times New Roman"/>
                <w:b/>
                <w:u w:val="single"/>
                <w:lang w:val="fr-BE" w:eastAsia="fr-BE"/>
              </w:rPr>
              <w:t>Commission de l'agriculture et du développement rural</w:t>
            </w:r>
          </w:p>
          <w:p w14:paraId="338C808D" w14:textId="77777777" w:rsidR="009D037C" w:rsidRPr="00941FB9" w:rsidRDefault="009D037C" w:rsidP="009D037C">
            <w:pPr>
              <w:spacing w:after="0"/>
              <w:jc w:val="both"/>
              <w:rPr>
                <w:rFonts w:ascii="Times New Roman" w:hAnsi="Times New Roman"/>
                <w:b/>
                <w:lang w:val="fr-BE" w:eastAsia="fr-BE"/>
              </w:rPr>
            </w:pPr>
          </w:p>
          <w:p w14:paraId="42567ECE" w14:textId="4DC51D8C" w:rsidR="009D037C" w:rsidRPr="00941FB9" w:rsidRDefault="009D037C" w:rsidP="009D037C">
            <w:pPr>
              <w:spacing w:after="0"/>
              <w:jc w:val="both"/>
              <w:rPr>
                <w:rFonts w:ascii="Times New Roman" w:hAnsi="Times New Roman"/>
                <w:lang w:val="fr-BE" w:eastAsia="fr-BE"/>
              </w:rPr>
            </w:pPr>
            <w:r w:rsidRPr="00941FB9">
              <w:rPr>
                <w:rFonts w:ascii="Times New Roman" w:hAnsi="Times New Roman"/>
                <w:lang w:val="fr-BE" w:eastAsia="fr-BE"/>
              </w:rPr>
              <w:t>Présentation d'une étude sur la mise en œuvre du premier pilier de la PAC 2014-2020 dans les États membres de l'UE</w:t>
            </w:r>
            <w:r w:rsidR="00941FB9" w:rsidRPr="00941FB9">
              <w:rPr>
                <w:rFonts w:ascii="Times New Roman" w:hAnsi="Times New Roman"/>
                <w:lang w:val="fr-BE" w:eastAsia="fr-BE"/>
              </w:rPr>
              <w:t>.</w:t>
            </w:r>
          </w:p>
          <w:p w14:paraId="37535571" w14:textId="6AED7BA0" w:rsidR="009D037C" w:rsidRPr="00941FB9" w:rsidRDefault="009D037C" w:rsidP="009D037C">
            <w:pPr>
              <w:spacing w:after="0"/>
              <w:jc w:val="both"/>
              <w:rPr>
                <w:rFonts w:ascii="Times New Roman" w:hAnsi="Times New Roman"/>
                <w:b/>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14:paraId="1301A03A" w14:textId="77777777" w:rsidR="001B512A" w:rsidRPr="001627C1" w:rsidRDefault="001B512A" w:rsidP="00EC414A">
            <w:pPr>
              <w:autoSpaceDE w:val="0"/>
              <w:autoSpaceDN w:val="0"/>
              <w:adjustRightInd w:val="0"/>
              <w:spacing w:after="0" w:line="240" w:lineRule="auto"/>
              <w:jc w:val="both"/>
              <w:rPr>
                <w:rFonts w:ascii="Times New Roman" w:eastAsiaTheme="minorHAnsi" w:hAnsi="Times New Roman"/>
                <w:iCs/>
                <w:color w:val="44546A" w:themeColor="text2"/>
                <w:szCs w:val="24"/>
                <w:lang w:val="fr-BE" w:eastAsia="fr-BE"/>
              </w:rPr>
            </w:pPr>
          </w:p>
          <w:p w14:paraId="406C922F" w14:textId="3CB34FC2" w:rsidR="001B512A" w:rsidRPr="001627C1" w:rsidRDefault="00941FB9" w:rsidP="00941FB9">
            <w:pPr>
              <w:autoSpaceDE w:val="0"/>
              <w:autoSpaceDN w:val="0"/>
              <w:adjustRightInd w:val="0"/>
              <w:spacing w:after="0" w:line="240" w:lineRule="auto"/>
              <w:jc w:val="center"/>
              <w:rPr>
                <w:rFonts w:ascii="Times New Roman" w:eastAsiaTheme="minorHAnsi" w:hAnsi="Times New Roman"/>
                <w:b/>
                <w:iCs/>
                <w:szCs w:val="24"/>
                <w:u w:val="single"/>
                <w:lang w:val="fr-BE" w:eastAsia="fr-BE"/>
              </w:rPr>
            </w:pPr>
            <w:r w:rsidRPr="001627C1">
              <w:rPr>
                <w:rFonts w:ascii="Times New Roman" w:eastAsiaTheme="minorHAnsi" w:hAnsi="Times New Roman"/>
                <w:b/>
                <w:iCs/>
                <w:szCs w:val="24"/>
                <w:u w:val="single"/>
                <w:lang w:val="fr-BE" w:eastAsia="fr-BE"/>
              </w:rPr>
              <w:t>Open Days :</w:t>
            </w:r>
          </w:p>
          <w:p w14:paraId="2030E8FF" w14:textId="6CADFD3C" w:rsidR="001B512A" w:rsidRPr="001627C1" w:rsidRDefault="00941FB9" w:rsidP="00941FB9">
            <w:pPr>
              <w:autoSpaceDE w:val="0"/>
              <w:autoSpaceDN w:val="0"/>
              <w:adjustRightInd w:val="0"/>
              <w:spacing w:after="0" w:line="240" w:lineRule="auto"/>
              <w:jc w:val="center"/>
              <w:rPr>
                <w:rFonts w:ascii="Times New Roman" w:eastAsiaTheme="minorHAnsi" w:hAnsi="Times New Roman"/>
                <w:iCs/>
                <w:szCs w:val="24"/>
                <w:lang w:val="fr-BE" w:eastAsia="fr-BE"/>
              </w:rPr>
            </w:pPr>
            <w:r w:rsidRPr="001627C1">
              <w:rPr>
                <w:rFonts w:ascii="Times New Roman" w:eastAsiaTheme="minorHAnsi" w:hAnsi="Times New Roman"/>
                <w:iCs/>
                <w:szCs w:val="24"/>
                <w:lang w:val="fr-BE" w:eastAsia="fr-BE"/>
              </w:rPr>
              <w:t>Régions et villes d’Europe : partenaires pour l’investissement et la croissance</w:t>
            </w: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F6742E6" w14:textId="77777777" w:rsidR="001B512A" w:rsidRDefault="001B512A" w:rsidP="00EC414A">
            <w:pPr>
              <w:autoSpaceDE w:val="0"/>
              <w:autoSpaceDN w:val="0"/>
              <w:adjustRightInd w:val="0"/>
              <w:spacing w:after="0" w:line="240" w:lineRule="auto"/>
              <w:rPr>
                <w:rFonts w:ascii="Times New Roman" w:hAnsi="Times New Roman"/>
                <w:b/>
                <w:sz w:val="24"/>
                <w:szCs w:val="24"/>
                <w:lang w:val="fr-BE"/>
              </w:rPr>
            </w:pPr>
          </w:p>
          <w:p w14:paraId="077E373E" w14:textId="77777777" w:rsidR="00591D89" w:rsidRDefault="00591D89" w:rsidP="00EC414A">
            <w:pPr>
              <w:autoSpaceDE w:val="0"/>
              <w:autoSpaceDN w:val="0"/>
              <w:adjustRightInd w:val="0"/>
              <w:spacing w:after="0" w:line="240" w:lineRule="auto"/>
              <w:rPr>
                <w:rFonts w:ascii="Times New Roman" w:hAnsi="Times New Roman"/>
                <w:b/>
                <w:sz w:val="24"/>
                <w:szCs w:val="24"/>
                <w:lang w:val="fr-BE"/>
              </w:rPr>
            </w:pPr>
          </w:p>
          <w:p w14:paraId="1019F628" w14:textId="77777777" w:rsidR="00591D89" w:rsidRPr="005D1C6C" w:rsidRDefault="00591D89" w:rsidP="0052055F">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14:paraId="4F050B96" w14:textId="77777777" w:rsidR="001B512A" w:rsidRPr="005D1C6C" w:rsidRDefault="001B512A" w:rsidP="00EC414A">
            <w:pPr>
              <w:autoSpaceDE w:val="0"/>
              <w:autoSpaceDN w:val="0"/>
              <w:adjustRightInd w:val="0"/>
              <w:spacing w:after="0" w:line="240" w:lineRule="auto"/>
              <w:jc w:val="both"/>
              <w:rPr>
                <w:rFonts w:ascii="Times New Roman" w:hAnsi="Times New Roman"/>
                <w:b/>
                <w:sz w:val="24"/>
                <w:szCs w:val="24"/>
                <w:lang w:val="fr-BE"/>
              </w:rPr>
            </w:pPr>
          </w:p>
        </w:tc>
      </w:tr>
      <w:tr w:rsidR="001B512A" w:rsidRPr="003E4AE7" w14:paraId="6A882E70" w14:textId="77777777"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E330E5" w14:textId="77777777"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14:paraId="5CD79FAD" w14:textId="3E1446E8" w:rsidR="001B512A" w:rsidRPr="005D1C6C" w:rsidRDefault="009D037C" w:rsidP="00EC414A">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13</w:t>
            </w:r>
            <w:r w:rsidR="00203EE4">
              <w:rPr>
                <w:rFonts w:ascii="Times New Roman" w:eastAsiaTheme="minorHAnsi" w:hAnsi="Times New Roman"/>
                <w:b/>
                <w:bCs/>
                <w:color w:val="000000"/>
                <w:sz w:val="24"/>
                <w:szCs w:val="24"/>
                <w:lang w:eastAsia="fr-BE"/>
              </w:rPr>
              <w:t>/</w:t>
            </w:r>
            <w:r w:rsidR="0083585F">
              <w:rPr>
                <w:rFonts w:ascii="Times New Roman" w:eastAsiaTheme="minorHAnsi" w:hAnsi="Times New Roman"/>
                <w:b/>
                <w:bCs/>
                <w:color w:val="000000"/>
                <w:sz w:val="24"/>
                <w:szCs w:val="24"/>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1F2F0C09" w14:textId="77777777" w:rsidR="004B64EC" w:rsidRPr="00941FB9" w:rsidRDefault="009D037C" w:rsidP="00BA1645">
            <w:pPr>
              <w:spacing w:after="0"/>
              <w:jc w:val="center"/>
              <w:rPr>
                <w:rFonts w:ascii="Times New Roman" w:hAnsi="Times New Roman"/>
                <w:b/>
                <w:u w:val="single"/>
                <w:lang w:val="fr-BE"/>
              </w:rPr>
            </w:pPr>
            <w:r w:rsidRPr="00941FB9">
              <w:rPr>
                <w:rFonts w:ascii="Times New Roman" w:hAnsi="Times New Roman"/>
                <w:b/>
                <w:u w:val="single"/>
                <w:lang w:val="fr-BE"/>
              </w:rPr>
              <w:t>Commission de l'agriculture et du développement rural</w:t>
            </w:r>
          </w:p>
          <w:p w14:paraId="302C6E7A" w14:textId="77777777" w:rsidR="009D037C" w:rsidRPr="00941FB9" w:rsidRDefault="009D037C" w:rsidP="009D037C">
            <w:pPr>
              <w:spacing w:after="0"/>
              <w:jc w:val="both"/>
              <w:rPr>
                <w:rFonts w:ascii="Times New Roman" w:hAnsi="Times New Roman"/>
                <w:b/>
                <w:lang w:val="fr-BE"/>
              </w:rPr>
            </w:pPr>
          </w:p>
          <w:p w14:paraId="27B625CB" w14:textId="1FD5F098" w:rsidR="009D037C" w:rsidRPr="00941FB9" w:rsidRDefault="009D037C" w:rsidP="009D037C">
            <w:pPr>
              <w:spacing w:after="0"/>
              <w:jc w:val="both"/>
              <w:rPr>
                <w:rFonts w:ascii="Times New Roman" w:hAnsi="Times New Roman"/>
                <w:b/>
                <w:lang w:val="fr-BE"/>
              </w:rPr>
            </w:pPr>
            <w:r w:rsidRPr="00941FB9">
              <w:rPr>
                <w:rFonts w:ascii="Times New Roman" w:hAnsi="Times New Roman"/>
                <w:b/>
                <w:lang w:val="fr-BE"/>
              </w:rPr>
              <w:t>Vote:</w:t>
            </w:r>
          </w:p>
          <w:p w14:paraId="3396FC36" w14:textId="115039C6" w:rsidR="009D037C" w:rsidRPr="00941FB9" w:rsidRDefault="009D037C" w:rsidP="009D037C">
            <w:pPr>
              <w:spacing w:after="0"/>
              <w:jc w:val="both"/>
              <w:rPr>
                <w:rFonts w:ascii="Times New Roman" w:hAnsi="Times New Roman"/>
                <w:lang w:val="fr-BE"/>
              </w:rPr>
            </w:pPr>
            <w:r w:rsidRPr="00941FB9">
              <w:rPr>
                <w:rFonts w:ascii="Times New Roman" w:hAnsi="Times New Roman"/>
                <w:lang w:val="fr-BE"/>
              </w:rPr>
              <w:t>Production biologique et étiquetage des produits biologiques</w:t>
            </w:r>
            <w:r w:rsidR="00941FB9" w:rsidRPr="00941FB9">
              <w:rPr>
                <w:rFonts w:ascii="Times New Roman" w:hAnsi="Times New Roman"/>
                <w:lang w:val="fr-BE"/>
              </w:rPr>
              <w:t>.</w:t>
            </w:r>
          </w:p>
          <w:p w14:paraId="06D7C053" w14:textId="77777777" w:rsidR="009D037C" w:rsidRPr="00941FB9" w:rsidRDefault="009D037C" w:rsidP="009D037C">
            <w:pPr>
              <w:spacing w:after="0"/>
              <w:jc w:val="both"/>
              <w:rPr>
                <w:rFonts w:ascii="Times New Roman" w:hAnsi="Times New Roman"/>
                <w:lang w:val="fr-BE"/>
              </w:rPr>
            </w:pPr>
            <w:r w:rsidRPr="00941FB9">
              <w:rPr>
                <w:rFonts w:ascii="Times New Roman" w:hAnsi="Times New Roman"/>
                <w:lang w:val="fr-BE"/>
              </w:rPr>
              <w:t xml:space="preserve">Rapport : </w:t>
            </w:r>
          </w:p>
          <w:p w14:paraId="6003AC63" w14:textId="1DF9E50E" w:rsidR="009D037C" w:rsidRPr="00941FB9" w:rsidRDefault="009D037C" w:rsidP="009D037C">
            <w:pPr>
              <w:spacing w:after="0"/>
              <w:jc w:val="both"/>
              <w:rPr>
                <w:rFonts w:ascii="Times New Roman" w:hAnsi="Times New Roman"/>
                <w:lang w:val="fr-BE"/>
              </w:rPr>
            </w:pPr>
            <w:r w:rsidRPr="00941FB9">
              <w:rPr>
                <w:rFonts w:ascii="Times New Roman" w:hAnsi="Times New Roman"/>
                <w:lang w:val="fr-BE"/>
              </w:rPr>
              <w:t>Martin HÄUSLING (Verts/Allemagne)</w:t>
            </w:r>
          </w:p>
          <w:p w14:paraId="1CA09AC8" w14:textId="77777777" w:rsidR="009D037C" w:rsidRPr="00941FB9" w:rsidRDefault="009D037C" w:rsidP="009D037C">
            <w:pPr>
              <w:spacing w:after="0"/>
              <w:jc w:val="both"/>
              <w:rPr>
                <w:rFonts w:ascii="Times New Roman" w:hAnsi="Times New Roman"/>
                <w:lang w:val="fr-BE"/>
              </w:rPr>
            </w:pPr>
          </w:p>
          <w:p w14:paraId="5220BBF9" w14:textId="170E1A5F" w:rsidR="009D037C" w:rsidRPr="00941FB9" w:rsidRDefault="009D037C" w:rsidP="00BA1645">
            <w:pPr>
              <w:spacing w:after="0"/>
              <w:jc w:val="center"/>
              <w:rPr>
                <w:rFonts w:ascii="Times New Roman" w:hAnsi="Times New Roman"/>
                <w:b/>
                <w:u w:val="single"/>
                <w:lang w:val="fr-BE"/>
              </w:rPr>
            </w:pPr>
            <w:r w:rsidRPr="00941FB9">
              <w:rPr>
                <w:rFonts w:ascii="Times New Roman" w:hAnsi="Times New Roman"/>
                <w:b/>
                <w:u w:val="single"/>
                <w:lang w:val="fr-BE"/>
              </w:rPr>
              <w:t xml:space="preserve">Commission de la </w:t>
            </w:r>
            <w:r w:rsidR="00941FB9" w:rsidRPr="00941FB9">
              <w:rPr>
                <w:rFonts w:ascii="Times New Roman" w:hAnsi="Times New Roman"/>
                <w:b/>
                <w:u w:val="single"/>
                <w:lang w:val="fr-BE"/>
              </w:rPr>
              <w:t>P</w:t>
            </w:r>
            <w:r w:rsidRPr="00941FB9">
              <w:rPr>
                <w:rFonts w:ascii="Times New Roman" w:hAnsi="Times New Roman"/>
                <w:b/>
                <w:u w:val="single"/>
                <w:lang w:val="fr-BE"/>
              </w:rPr>
              <w:t>êche</w:t>
            </w:r>
          </w:p>
          <w:p w14:paraId="4CD81FAA" w14:textId="77777777" w:rsidR="009D037C" w:rsidRPr="00941FB9" w:rsidRDefault="009D037C" w:rsidP="009D037C">
            <w:pPr>
              <w:spacing w:after="0"/>
              <w:jc w:val="both"/>
              <w:rPr>
                <w:rFonts w:ascii="Times New Roman" w:hAnsi="Times New Roman"/>
                <w:b/>
                <w:lang w:val="fr-BE"/>
              </w:rPr>
            </w:pPr>
          </w:p>
          <w:p w14:paraId="2C23BB52" w14:textId="4A205B9A" w:rsidR="009D037C" w:rsidRPr="00941FB9" w:rsidRDefault="009D037C" w:rsidP="009D037C">
            <w:pPr>
              <w:spacing w:after="0"/>
              <w:jc w:val="both"/>
              <w:rPr>
                <w:rFonts w:ascii="Times New Roman" w:hAnsi="Times New Roman"/>
                <w:b/>
                <w:lang w:val="fr-BE"/>
              </w:rPr>
            </w:pPr>
            <w:r w:rsidRPr="00941FB9">
              <w:rPr>
                <w:rFonts w:ascii="Times New Roman" w:hAnsi="Times New Roman"/>
                <w:b/>
                <w:lang w:val="fr-BE"/>
              </w:rPr>
              <w:t>Débat :</w:t>
            </w:r>
          </w:p>
          <w:p w14:paraId="1A439F4B" w14:textId="0D51AC6B" w:rsidR="009D037C" w:rsidRPr="00941FB9" w:rsidRDefault="009D037C" w:rsidP="009D037C">
            <w:pPr>
              <w:spacing w:after="0"/>
              <w:jc w:val="both"/>
              <w:rPr>
                <w:rFonts w:ascii="Times New Roman" w:hAnsi="Times New Roman"/>
                <w:lang w:val="fr-BE"/>
              </w:rPr>
            </w:pPr>
            <w:r w:rsidRPr="00941FB9">
              <w:rPr>
                <w:rFonts w:ascii="Times New Roman" w:hAnsi="Times New Roman"/>
                <w:lang w:val="fr-BE"/>
              </w:rPr>
              <w:t>Une nouvelle PCP: structure pour les mesures techniques et les plans pluriannuels</w:t>
            </w:r>
            <w:r w:rsidR="00941FB9" w:rsidRPr="00941FB9">
              <w:rPr>
                <w:rFonts w:ascii="Times New Roman" w:hAnsi="Times New Roman"/>
                <w:lang w:val="fr-BE"/>
              </w:rPr>
              <w:t>.</w:t>
            </w:r>
          </w:p>
          <w:p w14:paraId="2F42AE41" w14:textId="16D1E52D" w:rsidR="009D037C" w:rsidRPr="00AC0F59" w:rsidRDefault="009D037C" w:rsidP="009D037C">
            <w:pPr>
              <w:spacing w:after="0"/>
              <w:jc w:val="both"/>
              <w:rPr>
                <w:rFonts w:ascii="Times New Roman" w:hAnsi="Times New Roman"/>
                <w:lang w:val="it-IT"/>
              </w:rPr>
            </w:pPr>
            <w:r w:rsidRPr="00AC0F59">
              <w:rPr>
                <w:rFonts w:ascii="Times New Roman" w:hAnsi="Times New Roman"/>
                <w:lang w:val="it-IT"/>
              </w:rPr>
              <w:t>Rapport : Gabriel MATO (PPE/Espagne-Canaries)</w:t>
            </w:r>
          </w:p>
          <w:p w14:paraId="16D506B5" w14:textId="46EA2DA1" w:rsidR="009D037C" w:rsidRPr="00AC0F59" w:rsidRDefault="009D037C" w:rsidP="009D037C">
            <w:pPr>
              <w:spacing w:after="0"/>
              <w:jc w:val="both"/>
              <w:rPr>
                <w:rFonts w:ascii="Times New Roman" w:hAnsi="Times New Roman"/>
                <w:lang w:val="it-IT"/>
              </w:rPr>
            </w:pPr>
          </w:p>
          <w:p w14:paraId="056EFF36" w14:textId="6029B9DC" w:rsidR="009D037C" w:rsidRPr="00941FB9" w:rsidRDefault="00941FB9" w:rsidP="009D037C">
            <w:pPr>
              <w:spacing w:after="0"/>
              <w:jc w:val="both"/>
              <w:rPr>
                <w:rFonts w:ascii="Times New Roman" w:hAnsi="Times New Roman"/>
                <w:lang w:val="fr-BE"/>
              </w:rPr>
            </w:pPr>
            <w:r w:rsidRPr="00941FB9">
              <w:rPr>
                <w:rFonts w:ascii="Times New Roman" w:hAnsi="Times New Roman"/>
                <w:lang w:val="fr-BE"/>
              </w:rPr>
              <w:t>Présentation de l'étude par le Département thématique B sur "L'obligation de débarquement et ses implications pour le contrôle de la pêche".</w:t>
            </w:r>
          </w:p>
          <w:p w14:paraId="1F513FD0" w14:textId="77777777" w:rsidR="00941FB9" w:rsidRPr="00941FB9" w:rsidRDefault="00941FB9" w:rsidP="009D037C">
            <w:pPr>
              <w:spacing w:after="0"/>
              <w:jc w:val="both"/>
              <w:rPr>
                <w:rFonts w:ascii="Times New Roman" w:hAnsi="Times New Roman"/>
                <w:lang w:val="fr-BE"/>
              </w:rPr>
            </w:pPr>
          </w:p>
          <w:p w14:paraId="131A8C24" w14:textId="782839F1" w:rsidR="00941FB9" w:rsidRPr="00941FB9" w:rsidRDefault="00941FB9" w:rsidP="009D037C">
            <w:pPr>
              <w:spacing w:after="0"/>
              <w:jc w:val="both"/>
              <w:rPr>
                <w:rFonts w:ascii="Times New Roman" w:hAnsi="Times New Roman"/>
                <w:lang w:val="fr-BE"/>
              </w:rPr>
            </w:pPr>
            <w:r w:rsidRPr="00941FB9">
              <w:rPr>
                <w:rFonts w:ascii="Times New Roman" w:hAnsi="Times New Roman"/>
                <w:lang w:val="fr-BE"/>
              </w:rPr>
              <w:t xml:space="preserve">Innovation et diversification de la pêche </w:t>
            </w:r>
            <w:r w:rsidRPr="00941FB9">
              <w:rPr>
                <w:rFonts w:ascii="Times New Roman" w:hAnsi="Times New Roman"/>
                <w:lang w:val="fr-BE"/>
              </w:rPr>
              <w:lastRenderedPageBreak/>
              <w:t>côtière artisanale dans les régions dépendantes de la pêche.</w:t>
            </w:r>
          </w:p>
          <w:p w14:paraId="51614154" w14:textId="77777777" w:rsidR="00941FB9" w:rsidRPr="00941FB9" w:rsidRDefault="00941FB9" w:rsidP="00941FB9">
            <w:pPr>
              <w:spacing w:after="0"/>
              <w:jc w:val="both"/>
              <w:rPr>
                <w:rFonts w:ascii="Times New Roman" w:hAnsi="Times New Roman"/>
                <w:lang w:val="fr-BE"/>
              </w:rPr>
            </w:pPr>
            <w:r w:rsidRPr="00941FB9">
              <w:rPr>
                <w:rFonts w:ascii="Times New Roman" w:hAnsi="Times New Roman"/>
                <w:lang w:val="fr-BE"/>
              </w:rPr>
              <w:t xml:space="preserve">Rapport : </w:t>
            </w:r>
            <w:r w:rsidRPr="00941FB9">
              <w:rPr>
                <w:rFonts w:ascii="Times New Roman" w:hAnsi="Times New Roman"/>
                <w:lang w:val="fr-BE"/>
              </w:rPr>
              <w:tab/>
            </w:r>
          </w:p>
          <w:p w14:paraId="3A43D9B9" w14:textId="5C480E6A" w:rsidR="00941FB9" w:rsidRPr="00941FB9" w:rsidRDefault="00941FB9" w:rsidP="00941FB9">
            <w:pPr>
              <w:spacing w:after="0"/>
              <w:jc w:val="both"/>
              <w:rPr>
                <w:rFonts w:ascii="Times New Roman" w:hAnsi="Times New Roman"/>
                <w:lang w:val="fr-BE"/>
              </w:rPr>
            </w:pPr>
            <w:r w:rsidRPr="00941FB9">
              <w:rPr>
                <w:rFonts w:ascii="Times New Roman" w:hAnsi="Times New Roman"/>
                <w:lang w:val="fr-BE"/>
              </w:rPr>
              <w:t>Ruža TOMAŠIĆ (ECR/Croatie)</w:t>
            </w:r>
          </w:p>
          <w:p w14:paraId="535DE4B4" w14:textId="77777777" w:rsidR="009D037C" w:rsidRPr="00941FB9" w:rsidRDefault="009D037C" w:rsidP="009D037C">
            <w:pPr>
              <w:spacing w:after="0"/>
              <w:jc w:val="both"/>
              <w:rPr>
                <w:rFonts w:ascii="Times New Roman" w:hAnsi="Times New Roman"/>
                <w:b/>
                <w:lang w:val="fr-BE"/>
              </w:rPr>
            </w:pPr>
          </w:p>
          <w:p w14:paraId="06C0929D" w14:textId="77777777" w:rsidR="00941FB9" w:rsidRPr="00941FB9" w:rsidRDefault="00941FB9" w:rsidP="009D037C">
            <w:pPr>
              <w:spacing w:after="0"/>
              <w:jc w:val="both"/>
              <w:rPr>
                <w:rFonts w:ascii="Times New Roman" w:hAnsi="Times New Roman"/>
                <w:lang w:val="fr-BE"/>
              </w:rPr>
            </w:pPr>
            <w:r w:rsidRPr="00941FB9">
              <w:rPr>
                <w:rFonts w:ascii="Times New Roman" w:hAnsi="Times New Roman"/>
                <w:lang w:val="fr-BE"/>
              </w:rPr>
              <w:t>Présentation par la Commission sur les actes délégués et les actes d'exécution.</w:t>
            </w:r>
          </w:p>
          <w:p w14:paraId="3D6F57F2" w14:textId="77777777" w:rsidR="00941FB9" w:rsidRPr="00941FB9" w:rsidRDefault="00941FB9" w:rsidP="009D037C">
            <w:pPr>
              <w:spacing w:after="0"/>
              <w:jc w:val="both"/>
              <w:rPr>
                <w:rFonts w:ascii="Times New Roman" w:hAnsi="Times New Roman"/>
                <w:lang w:val="fr-BE"/>
              </w:rPr>
            </w:pPr>
          </w:p>
          <w:p w14:paraId="0B94EF55" w14:textId="4DCF66F6" w:rsidR="00941FB9" w:rsidRPr="00941FB9" w:rsidRDefault="00941FB9" w:rsidP="009D037C">
            <w:pPr>
              <w:spacing w:after="0"/>
              <w:jc w:val="both"/>
              <w:rPr>
                <w:rFonts w:ascii="Times New Roman" w:hAnsi="Times New Roman"/>
                <w:lang w:val="fr-BE"/>
              </w:rPr>
            </w:pPr>
            <w:r w:rsidRPr="00941FB9">
              <w:rPr>
                <w:rFonts w:ascii="Times New Roman" w:hAnsi="Times New Roman"/>
                <w:lang w:val="fr-BE"/>
              </w:rPr>
              <w:t>Atelier présenté par le Département thématique B sur "Un nouveau cadre pour les mesures techniques pour la nouvelle PCP".</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9B1184D" w14:textId="77777777" w:rsidR="00941FB9" w:rsidRPr="001627C1" w:rsidRDefault="00941FB9" w:rsidP="00941FB9">
            <w:pPr>
              <w:autoSpaceDE w:val="0"/>
              <w:autoSpaceDN w:val="0"/>
              <w:adjustRightInd w:val="0"/>
              <w:spacing w:after="0" w:line="240" w:lineRule="auto"/>
              <w:jc w:val="center"/>
              <w:rPr>
                <w:rFonts w:ascii="Times New Roman" w:eastAsiaTheme="minorHAnsi" w:hAnsi="Times New Roman"/>
                <w:b/>
                <w:iCs/>
                <w:szCs w:val="24"/>
                <w:u w:val="single"/>
                <w:lang w:val="fr-BE" w:eastAsia="fr-BE"/>
              </w:rPr>
            </w:pPr>
            <w:r w:rsidRPr="001627C1">
              <w:rPr>
                <w:rFonts w:ascii="Times New Roman" w:eastAsiaTheme="minorHAnsi" w:hAnsi="Times New Roman"/>
                <w:b/>
                <w:iCs/>
                <w:szCs w:val="24"/>
                <w:u w:val="single"/>
                <w:lang w:val="fr-BE" w:eastAsia="fr-BE"/>
              </w:rPr>
              <w:lastRenderedPageBreak/>
              <w:t>Open Days :</w:t>
            </w:r>
          </w:p>
          <w:p w14:paraId="6BAE4141" w14:textId="19FE464C" w:rsidR="00EF4FD5" w:rsidRPr="001627C1" w:rsidRDefault="00941FB9" w:rsidP="00941FB9">
            <w:pPr>
              <w:pStyle w:val="Sansinterligne"/>
              <w:spacing w:line="276" w:lineRule="auto"/>
              <w:jc w:val="center"/>
              <w:rPr>
                <w:rFonts w:ascii="Times New Roman" w:hAnsi="Times New Roman"/>
                <w:color w:val="44546A" w:themeColor="text2"/>
                <w:szCs w:val="24"/>
                <w:lang w:val="fr-BE"/>
              </w:rPr>
            </w:pPr>
            <w:r w:rsidRPr="001627C1">
              <w:rPr>
                <w:rFonts w:ascii="Times New Roman" w:eastAsiaTheme="minorHAnsi" w:hAnsi="Times New Roman"/>
                <w:iCs/>
                <w:szCs w:val="24"/>
                <w:lang w:val="fr-BE" w:eastAsia="fr-BE"/>
              </w:rPr>
              <w:t>Régions et villes d’Europe : partenaires pour l’investissement et la croissance</w:t>
            </w: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70A4F5B" w14:textId="77777777" w:rsidR="001B512A" w:rsidRPr="00FC5190" w:rsidRDefault="001B512A" w:rsidP="004B64EC">
            <w:pPr>
              <w:autoSpaceDE w:val="0"/>
              <w:autoSpaceDN w:val="0"/>
              <w:adjustRightInd w:val="0"/>
              <w:spacing w:after="0" w:line="240" w:lineRule="auto"/>
              <w:jc w:val="both"/>
              <w:rPr>
                <w:rFonts w:ascii="Times New Roman" w:eastAsiaTheme="minorEastAsia" w:hAnsi="Times New Roman"/>
                <w:b/>
                <w:sz w:val="24"/>
                <w:szCs w:val="24"/>
                <w:lang w:val="fr-FR" w:eastAsia="fr-BE"/>
              </w:rPr>
            </w:pPr>
          </w:p>
        </w:tc>
        <w:tc>
          <w:tcPr>
            <w:tcW w:w="783" w:type="pct"/>
            <w:tcBorders>
              <w:top w:val="nil"/>
              <w:left w:val="nil"/>
              <w:bottom w:val="single" w:sz="8" w:space="0" w:color="auto"/>
              <w:right w:val="single" w:sz="8" w:space="0" w:color="auto"/>
            </w:tcBorders>
          </w:tcPr>
          <w:p w14:paraId="0193098A" w14:textId="77777777" w:rsidR="001B512A"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p w14:paraId="00E19E72" w14:textId="77777777" w:rsidR="001B512A" w:rsidRPr="005D1C6C"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3E4AE7" w14:paraId="66360C59" w14:textId="77777777"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6A7EC7" w14:textId="24C53AD9" w:rsidR="001B512A" w:rsidRPr="009B60F9" w:rsidRDefault="001B512A" w:rsidP="00EC414A">
            <w:pPr>
              <w:spacing w:after="0"/>
              <w:jc w:val="center"/>
              <w:rPr>
                <w:rFonts w:ascii="Times New Roman" w:eastAsiaTheme="minorHAnsi" w:hAnsi="Times New Roman"/>
                <w:b/>
                <w:bCs/>
                <w:color w:val="000000"/>
                <w:lang w:eastAsia="fr-BE"/>
              </w:rPr>
            </w:pPr>
            <w:r w:rsidRPr="009B60F9">
              <w:rPr>
                <w:rFonts w:ascii="Times New Roman" w:eastAsiaTheme="minorHAnsi" w:hAnsi="Times New Roman"/>
                <w:b/>
                <w:bCs/>
                <w:color w:val="000000"/>
                <w:lang w:eastAsia="fr-BE"/>
              </w:rPr>
              <w:lastRenderedPageBreak/>
              <w:t>Mercredi</w:t>
            </w:r>
          </w:p>
          <w:p w14:paraId="618E5BBA" w14:textId="7CA17079" w:rsidR="001B512A" w:rsidRPr="009B60F9" w:rsidRDefault="009D037C" w:rsidP="00203EE4">
            <w:pPr>
              <w:spacing w:after="0"/>
              <w:jc w:val="center"/>
              <w:rPr>
                <w:rFonts w:ascii="Times New Roman" w:eastAsiaTheme="minorHAnsi" w:hAnsi="Times New Roman"/>
                <w:b/>
                <w:bCs/>
                <w:color w:val="000000"/>
                <w:lang w:eastAsia="fr-BE"/>
              </w:rPr>
            </w:pPr>
            <w:r>
              <w:rPr>
                <w:rFonts w:ascii="Times New Roman" w:eastAsiaTheme="minorHAnsi" w:hAnsi="Times New Roman"/>
                <w:b/>
                <w:bCs/>
                <w:color w:val="000000"/>
                <w:lang w:eastAsia="fr-BE"/>
              </w:rPr>
              <w:t>14</w:t>
            </w:r>
            <w:r w:rsidR="00922A59" w:rsidRPr="009B60F9">
              <w:rPr>
                <w:rFonts w:ascii="Times New Roman" w:eastAsiaTheme="minorHAnsi" w:hAnsi="Times New Roman"/>
                <w:b/>
                <w:bCs/>
                <w:color w:val="000000"/>
                <w:lang w:eastAsia="fr-BE"/>
              </w:rPr>
              <w:t>/</w:t>
            </w:r>
            <w:r w:rsidR="0083585F" w:rsidRPr="009B60F9">
              <w:rPr>
                <w:rFonts w:ascii="Times New Roman" w:eastAsiaTheme="minorHAnsi" w:hAnsi="Times New Roman"/>
                <w:b/>
                <w:bCs/>
                <w:color w:val="000000"/>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0F33BDFD" w14:textId="77777777" w:rsidR="003820D6" w:rsidRDefault="003820D6" w:rsidP="009D037C">
            <w:pPr>
              <w:pStyle w:val="Sansinterligne"/>
              <w:jc w:val="both"/>
              <w:rPr>
                <w:rFonts w:ascii="Times New Roman" w:hAnsi="Times New Roman"/>
                <w:b/>
                <w:u w:val="single"/>
                <w:lang w:val="fr-BE"/>
              </w:rPr>
            </w:pPr>
          </w:p>
          <w:p w14:paraId="60F90763" w14:textId="77777777" w:rsidR="00D25143" w:rsidRDefault="00D25143" w:rsidP="00BA1645">
            <w:pPr>
              <w:pStyle w:val="Sansinterligne"/>
              <w:jc w:val="center"/>
              <w:rPr>
                <w:rFonts w:ascii="Times New Roman" w:hAnsi="Times New Roman"/>
                <w:b/>
                <w:u w:val="single"/>
                <w:lang w:val="fr-BE"/>
              </w:rPr>
            </w:pPr>
            <w:r>
              <w:rPr>
                <w:rFonts w:ascii="Times New Roman" w:hAnsi="Times New Roman"/>
                <w:b/>
                <w:u w:val="single"/>
                <w:lang w:val="fr-BE"/>
              </w:rPr>
              <w:t>Session plénière du Parlement européen à Bruxelles</w:t>
            </w:r>
          </w:p>
          <w:p w14:paraId="46BD8451" w14:textId="77777777" w:rsidR="00D25143" w:rsidRDefault="00D25143" w:rsidP="009D037C">
            <w:pPr>
              <w:pStyle w:val="Sansinterligne"/>
              <w:jc w:val="both"/>
              <w:rPr>
                <w:rFonts w:ascii="Times New Roman" w:hAnsi="Times New Roman"/>
                <w:b/>
                <w:u w:val="single"/>
                <w:lang w:val="fr-BE"/>
              </w:rPr>
            </w:pPr>
          </w:p>
          <w:p w14:paraId="6FB87174" w14:textId="46F5DBAB" w:rsidR="00D25143" w:rsidRPr="00D25143" w:rsidRDefault="00D25143" w:rsidP="009D037C">
            <w:pPr>
              <w:pStyle w:val="Sansinterligne"/>
              <w:jc w:val="both"/>
              <w:rPr>
                <w:rFonts w:ascii="Times New Roman" w:hAnsi="Times New Roman"/>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344E1C5" w14:textId="77777777" w:rsidR="00941FB9" w:rsidRPr="001627C1" w:rsidRDefault="00941FB9" w:rsidP="00941FB9">
            <w:pPr>
              <w:autoSpaceDE w:val="0"/>
              <w:autoSpaceDN w:val="0"/>
              <w:adjustRightInd w:val="0"/>
              <w:spacing w:after="0" w:line="240" w:lineRule="auto"/>
              <w:jc w:val="center"/>
              <w:rPr>
                <w:rFonts w:ascii="Times New Roman" w:eastAsiaTheme="minorHAnsi" w:hAnsi="Times New Roman"/>
                <w:b/>
                <w:iCs/>
                <w:szCs w:val="24"/>
                <w:u w:val="single"/>
                <w:lang w:val="fr-BE" w:eastAsia="fr-BE"/>
              </w:rPr>
            </w:pPr>
            <w:r w:rsidRPr="001627C1">
              <w:rPr>
                <w:rFonts w:ascii="Times New Roman" w:eastAsiaTheme="minorHAnsi" w:hAnsi="Times New Roman"/>
                <w:b/>
                <w:iCs/>
                <w:szCs w:val="24"/>
                <w:u w:val="single"/>
                <w:lang w:val="fr-BE" w:eastAsia="fr-BE"/>
              </w:rPr>
              <w:t>Open Days :</w:t>
            </w:r>
          </w:p>
          <w:p w14:paraId="11E55F63" w14:textId="64962A7D" w:rsidR="001B512A" w:rsidRPr="001627C1" w:rsidRDefault="00941FB9" w:rsidP="00941FB9">
            <w:pPr>
              <w:spacing w:after="0"/>
              <w:jc w:val="center"/>
              <w:rPr>
                <w:rFonts w:ascii="Times New Roman" w:hAnsi="Times New Roman"/>
                <w:b/>
                <w:szCs w:val="24"/>
                <w:lang w:val="fr-BE"/>
              </w:rPr>
            </w:pPr>
            <w:r w:rsidRPr="001627C1">
              <w:rPr>
                <w:rFonts w:ascii="Times New Roman" w:eastAsiaTheme="minorHAnsi" w:hAnsi="Times New Roman"/>
                <w:iCs/>
                <w:szCs w:val="24"/>
                <w:lang w:val="fr-BE" w:eastAsia="fr-BE"/>
              </w:rPr>
              <w:t>Régions et villes d’Europe : partenaires pour l’investissement et la croissance</w:t>
            </w: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7891057" w14:textId="77777777" w:rsidR="001B512A" w:rsidRDefault="001B512A" w:rsidP="00EC414A">
            <w:pPr>
              <w:pStyle w:val="Sansinterligne"/>
              <w:jc w:val="both"/>
              <w:rPr>
                <w:rFonts w:ascii="Times New Roman" w:hAnsi="Times New Roman"/>
                <w:sz w:val="24"/>
                <w:szCs w:val="24"/>
                <w:lang w:val="fr-BE" w:eastAsia="fr-BE"/>
              </w:rPr>
            </w:pPr>
          </w:p>
          <w:p w14:paraId="504495FF" w14:textId="77777777" w:rsidR="001B512A" w:rsidRPr="009F280B" w:rsidRDefault="001B512A" w:rsidP="00EC414A">
            <w:pPr>
              <w:pStyle w:val="Sansinterligne"/>
              <w:jc w:val="both"/>
              <w:rPr>
                <w:rFonts w:ascii="Times New Roman" w:hAnsi="Times New Roman"/>
                <w:sz w:val="24"/>
                <w:szCs w:val="24"/>
                <w:lang w:val="fr-BE" w:eastAsia="fr-BE"/>
              </w:rPr>
            </w:pPr>
          </w:p>
        </w:tc>
        <w:tc>
          <w:tcPr>
            <w:tcW w:w="783" w:type="pct"/>
            <w:tcBorders>
              <w:top w:val="nil"/>
              <w:left w:val="nil"/>
              <w:bottom w:val="single" w:sz="8" w:space="0" w:color="auto"/>
              <w:right w:val="single" w:sz="8" w:space="0" w:color="auto"/>
            </w:tcBorders>
          </w:tcPr>
          <w:p w14:paraId="723B40E9" w14:textId="77777777" w:rsidR="002A518D" w:rsidRPr="00597144" w:rsidRDefault="002A518D" w:rsidP="004B64EC">
            <w:pPr>
              <w:pStyle w:val="Sansinterligne"/>
              <w:jc w:val="both"/>
              <w:rPr>
                <w:rFonts w:ascii="Times New Roman" w:hAnsi="Times New Roman"/>
                <w:sz w:val="24"/>
                <w:szCs w:val="24"/>
                <w:lang w:val="fr-BE" w:eastAsia="fr-BE"/>
              </w:rPr>
            </w:pPr>
          </w:p>
        </w:tc>
      </w:tr>
      <w:tr w:rsidR="001B512A" w:rsidRPr="009D037C" w14:paraId="6BD1177E" w14:textId="77777777"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84AD24" w14:textId="4C9D39C1" w:rsidR="001B512A" w:rsidRPr="00941FB9" w:rsidRDefault="001B512A" w:rsidP="00EC414A">
            <w:pPr>
              <w:spacing w:after="0"/>
              <w:jc w:val="center"/>
              <w:rPr>
                <w:rFonts w:ascii="Times New Roman" w:eastAsiaTheme="minorHAnsi" w:hAnsi="Times New Roman"/>
                <w:b/>
                <w:bCs/>
                <w:sz w:val="24"/>
                <w:szCs w:val="24"/>
                <w:lang w:val="fr-BE" w:eastAsia="fr-BE"/>
              </w:rPr>
            </w:pPr>
            <w:r w:rsidRPr="00941FB9">
              <w:rPr>
                <w:rFonts w:ascii="Times New Roman" w:eastAsiaTheme="minorHAnsi" w:hAnsi="Times New Roman"/>
                <w:b/>
                <w:bCs/>
                <w:sz w:val="24"/>
                <w:szCs w:val="24"/>
                <w:lang w:val="fr-BE" w:eastAsia="fr-BE"/>
              </w:rPr>
              <w:t>Jeudi</w:t>
            </w:r>
          </w:p>
          <w:p w14:paraId="76F30CC0" w14:textId="2E91A40F" w:rsidR="001B512A" w:rsidRPr="00941FB9" w:rsidRDefault="009D037C" w:rsidP="0052055F">
            <w:pPr>
              <w:spacing w:after="0"/>
              <w:jc w:val="center"/>
              <w:rPr>
                <w:rFonts w:ascii="Times New Roman" w:eastAsiaTheme="minorHAnsi" w:hAnsi="Times New Roman"/>
                <w:b/>
                <w:bCs/>
                <w:sz w:val="24"/>
                <w:szCs w:val="24"/>
                <w:lang w:val="fr-BE" w:eastAsia="fr-BE"/>
              </w:rPr>
            </w:pPr>
            <w:r w:rsidRPr="00941FB9">
              <w:rPr>
                <w:rFonts w:ascii="Times New Roman" w:eastAsiaTheme="minorHAnsi" w:hAnsi="Times New Roman"/>
                <w:b/>
                <w:bCs/>
                <w:sz w:val="24"/>
                <w:szCs w:val="24"/>
                <w:lang w:val="fr-BE" w:eastAsia="fr-BE"/>
              </w:rPr>
              <w:t>15</w:t>
            </w:r>
            <w:r w:rsidR="00BF75A2" w:rsidRPr="00941FB9">
              <w:rPr>
                <w:rFonts w:ascii="Times New Roman" w:eastAsiaTheme="minorHAnsi" w:hAnsi="Times New Roman"/>
                <w:b/>
                <w:bCs/>
                <w:sz w:val="24"/>
                <w:szCs w:val="24"/>
                <w:lang w:val="fr-BE" w:eastAsia="fr-BE"/>
              </w:rPr>
              <w:t>/</w:t>
            </w:r>
            <w:r w:rsidR="0083585F" w:rsidRPr="00941FB9">
              <w:rPr>
                <w:rFonts w:ascii="Times New Roman" w:eastAsiaTheme="minorHAnsi" w:hAnsi="Times New Roman"/>
                <w:b/>
                <w:bCs/>
                <w:sz w:val="24"/>
                <w:szCs w:val="24"/>
                <w:lang w:val="fr-BE"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5423859F" w14:textId="77777777" w:rsidR="00941FB9" w:rsidRPr="00941FB9" w:rsidRDefault="00941FB9" w:rsidP="00BA1645">
            <w:pPr>
              <w:pStyle w:val="Sansinterligne"/>
              <w:jc w:val="center"/>
              <w:rPr>
                <w:rFonts w:ascii="Times New Roman" w:hAnsi="Times New Roman"/>
                <w:b/>
                <w:u w:val="single"/>
                <w:lang w:val="fr-BE" w:eastAsia="fr-BE"/>
              </w:rPr>
            </w:pPr>
            <w:r w:rsidRPr="00941FB9">
              <w:rPr>
                <w:rFonts w:ascii="Times New Roman" w:hAnsi="Times New Roman"/>
                <w:b/>
                <w:u w:val="single"/>
                <w:lang w:val="fr-BE" w:eastAsia="fr-BE"/>
              </w:rPr>
              <w:t>Commission du Commerce international</w:t>
            </w:r>
          </w:p>
          <w:p w14:paraId="64B24FD0" w14:textId="77777777" w:rsidR="00941FB9" w:rsidRPr="00941FB9" w:rsidRDefault="00941FB9" w:rsidP="00EC414A">
            <w:pPr>
              <w:pStyle w:val="Sansinterligne"/>
              <w:jc w:val="both"/>
              <w:rPr>
                <w:rFonts w:ascii="Times New Roman" w:hAnsi="Times New Roman"/>
                <w:b/>
                <w:lang w:val="fr-BE" w:eastAsia="fr-BE"/>
              </w:rPr>
            </w:pPr>
          </w:p>
          <w:p w14:paraId="3377F274" w14:textId="77777777" w:rsidR="001B512A" w:rsidRPr="00EA7C1C" w:rsidRDefault="00941FB9" w:rsidP="00941FB9">
            <w:pPr>
              <w:pStyle w:val="Sansinterligne"/>
              <w:jc w:val="both"/>
              <w:rPr>
                <w:rFonts w:ascii="Times New Roman" w:hAnsi="Times New Roman"/>
                <w:lang w:val="fr-BE" w:eastAsia="fr-BE"/>
              </w:rPr>
            </w:pPr>
            <w:r w:rsidRPr="00EA7C1C">
              <w:rPr>
                <w:rFonts w:ascii="Times New Roman" w:hAnsi="Times New Roman"/>
                <w:lang w:val="fr-BE" w:eastAsia="fr-BE"/>
              </w:rPr>
              <w:t>Présentation par la Commissaire en charge du Commerce international, Cecilia MALMSTRÖM, de la Communication sur le commerce futur et stratégie d'investissement.</w:t>
            </w:r>
          </w:p>
          <w:p w14:paraId="1B9D1858" w14:textId="77777777" w:rsidR="00941FB9" w:rsidRPr="00941FB9" w:rsidRDefault="00941FB9" w:rsidP="00941FB9">
            <w:pPr>
              <w:pStyle w:val="Sansinterligne"/>
              <w:jc w:val="both"/>
              <w:rPr>
                <w:rFonts w:ascii="Times New Roman" w:hAnsi="Times New Roman"/>
                <w:lang w:val="fr-BE" w:eastAsia="fr-BE"/>
              </w:rPr>
            </w:pPr>
          </w:p>
          <w:p w14:paraId="798D9A23" w14:textId="77777777" w:rsidR="00941FB9" w:rsidRPr="00941FB9" w:rsidRDefault="00941FB9" w:rsidP="00BA1645">
            <w:pPr>
              <w:pStyle w:val="Sansinterligne"/>
              <w:jc w:val="center"/>
              <w:rPr>
                <w:rFonts w:ascii="Times New Roman" w:eastAsiaTheme="minorHAnsi" w:hAnsi="Times New Roman"/>
                <w:b/>
                <w:iCs/>
                <w:u w:val="single"/>
                <w:lang w:val="fr-BE" w:eastAsia="fr-BE"/>
              </w:rPr>
            </w:pPr>
            <w:r w:rsidRPr="00941FB9">
              <w:rPr>
                <w:rFonts w:ascii="Times New Roman" w:eastAsiaTheme="minorHAnsi" w:hAnsi="Times New Roman"/>
                <w:b/>
                <w:iCs/>
                <w:u w:val="single"/>
                <w:lang w:val="fr-BE" w:eastAsia="fr-BE"/>
              </w:rPr>
              <w:t>Commission du développement régional</w:t>
            </w:r>
          </w:p>
          <w:p w14:paraId="08AD84A2" w14:textId="77777777" w:rsidR="00941FB9" w:rsidRPr="00941FB9" w:rsidRDefault="00941FB9" w:rsidP="00941FB9">
            <w:pPr>
              <w:pStyle w:val="Sansinterligne"/>
              <w:jc w:val="both"/>
              <w:rPr>
                <w:rFonts w:ascii="Times New Roman" w:eastAsiaTheme="minorHAnsi" w:hAnsi="Times New Roman"/>
                <w:b/>
                <w:iCs/>
                <w:lang w:val="fr-BE" w:eastAsia="fr-BE"/>
              </w:rPr>
            </w:pPr>
          </w:p>
          <w:p w14:paraId="03C5F8BF" w14:textId="4E98DEA6" w:rsidR="00941FB9" w:rsidRPr="00941FB9" w:rsidRDefault="00941FB9" w:rsidP="00941FB9">
            <w:pPr>
              <w:pStyle w:val="Sansinterligne"/>
              <w:jc w:val="both"/>
              <w:rPr>
                <w:rFonts w:ascii="Times New Roman" w:eastAsiaTheme="minorHAnsi" w:hAnsi="Times New Roman"/>
                <w:b/>
                <w:iCs/>
                <w:lang w:val="fr-BE" w:eastAsia="fr-BE"/>
              </w:rPr>
            </w:pPr>
            <w:r w:rsidRPr="00941FB9">
              <w:rPr>
                <w:rFonts w:ascii="Times New Roman" w:eastAsiaTheme="minorHAnsi" w:hAnsi="Times New Roman"/>
                <w:b/>
                <w:iCs/>
                <w:lang w:val="fr-BE" w:eastAsia="fr-BE"/>
              </w:rPr>
              <w:t>Audition publique</w:t>
            </w:r>
            <w:r>
              <w:rPr>
                <w:rFonts w:ascii="Times New Roman" w:eastAsiaTheme="minorHAnsi" w:hAnsi="Times New Roman"/>
                <w:b/>
                <w:iCs/>
                <w:lang w:val="fr-BE" w:eastAsia="fr-BE"/>
              </w:rPr>
              <w:t>:</w:t>
            </w:r>
          </w:p>
          <w:p w14:paraId="485F3CD5" w14:textId="3D11B13F" w:rsidR="00941FB9" w:rsidRPr="00941FB9" w:rsidRDefault="00941FB9" w:rsidP="00941FB9">
            <w:pPr>
              <w:pStyle w:val="Sansinterligne"/>
              <w:jc w:val="both"/>
              <w:rPr>
                <w:rFonts w:ascii="Times New Roman" w:eastAsiaTheme="minorHAnsi" w:hAnsi="Times New Roman"/>
                <w:iCs/>
                <w:lang w:val="fr-BE" w:eastAsia="fr-BE"/>
              </w:rPr>
            </w:pPr>
            <w:r w:rsidRPr="00941FB9">
              <w:rPr>
                <w:rFonts w:ascii="Times New Roman" w:eastAsiaTheme="minorHAnsi" w:hAnsi="Times New Roman"/>
                <w:iCs/>
                <w:lang w:val="fr-BE" w:eastAsia="fr-BE"/>
              </w:rPr>
              <w:t>Simplification et allègement des formalités administratives relatives aux Fonds structurels et d'investissement européens</w:t>
            </w:r>
          </w:p>
          <w:p w14:paraId="62E57CD9" w14:textId="61CFBCDF" w:rsidR="00941FB9" w:rsidRPr="00941FB9" w:rsidRDefault="00941FB9" w:rsidP="00941FB9">
            <w:pPr>
              <w:pStyle w:val="Sansinterligne"/>
              <w:jc w:val="both"/>
              <w:rPr>
                <w:rFonts w:ascii="Times New Roman" w:eastAsiaTheme="minorHAnsi" w:hAnsi="Times New Roman"/>
                <w:b/>
                <w:iCs/>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7F765F9" w14:textId="77777777" w:rsidR="00941FB9" w:rsidRPr="001627C1" w:rsidRDefault="00941FB9" w:rsidP="00941FB9">
            <w:pPr>
              <w:autoSpaceDE w:val="0"/>
              <w:autoSpaceDN w:val="0"/>
              <w:adjustRightInd w:val="0"/>
              <w:spacing w:after="0" w:line="240" w:lineRule="auto"/>
              <w:jc w:val="center"/>
              <w:rPr>
                <w:rFonts w:ascii="Times New Roman" w:eastAsiaTheme="minorHAnsi" w:hAnsi="Times New Roman"/>
                <w:b/>
                <w:iCs/>
                <w:szCs w:val="24"/>
                <w:u w:val="single"/>
                <w:lang w:val="fr-BE" w:eastAsia="fr-BE"/>
              </w:rPr>
            </w:pPr>
            <w:r w:rsidRPr="001627C1">
              <w:rPr>
                <w:rFonts w:ascii="Times New Roman" w:eastAsiaTheme="minorHAnsi" w:hAnsi="Times New Roman"/>
                <w:b/>
                <w:iCs/>
                <w:szCs w:val="24"/>
                <w:u w:val="single"/>
                <w:lang w:val="fr-BE" w:eastAsia="fr-BE"/>
              </w:rPr>
              <w:t>Open Days :</w:t>
            </w:r>
          </w:p>
          <w:p w14:paraId="18F37277" w14:textId="490FEFD4" w:rsidR="001B512A" w:rsidRPr="001627C1" w:rsidRDefault="00941FB9" w:rsidP="00941FB9">
            <w:pPr>
              <w:pStyle w:val="Sansinterligne"/>
              <w:jc w:val="center"/>
              <w:rPr>
                <w:rFonts w:ascii="Times New Roman" w:eastAsiaTheme="minorHAnsi" w:hAnsi="Times New Roman"/>
                <w:iCs/>
                <w:szCs w:val="24"/>
                <w:lang w:val="fr-BE" w:eastAsia="fr-BE"/>
              </w:rPr>
            </w:pPr>
            <w:r w:rsidRPr="001627C1">
              <w:rPr>
                <w:rFonts w:ascii="Times New Roman" w:eastAsiaTheme="minorHAnsi" w:hAnsi="Times New Roman"/>
                <w:iCs/>
                <w:szCs w:val="24"/>
                <w:lang w:val="fr-BE" w:eastAsia="fr-BE"/>
              </w:rPr>
              <w:t>Régions et villes d’Europe : partenaires pour l’investissement et la croissance</w:t>
            </w:r>
          </w:p>
          <w:p w14:paraId="4E7B0CB5" w14:textId="77777777" w:rsidR="001B512A" w:rsidRPr="001627C1" w:rsidRDefault="001B512A" w:rsidP="00EC414A">
            <w:pPr>
              <w:spacing w:after="0"/>
              <w:jc w:val="both"/>
              <w:rPr>
                <w:rFonts w:ascii="Times New Roman" w:hAnsi="Times New Roman"/>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70D30CD" w14:textId="77777777" w:rsidR="00941FB9" w:rsidRPr="00EA7C1C" w:rsidRDefault="00941FB9" w:rsidP="00941FB9">
            <w:pPr>
              <w:pStyle w:val="Sansinterligne"/>
              <w:spacing w:line="276" w:lineRule="auto"/>
              <w:jc w:val="center"/>
              <w:rPr>
                <w:rFonts w:ascii="Times New Roman" w:eastAsiaTheme="minorHAnsi" w:hAnsi="Times New Roman"/>
                <w:b/>
                <w:bCs/>
                <w:iCs/>
                <w:szCs w:val="24"/>
                <w:u w:val="single"/>
                <w:lang w:val="fr-BE" w:eastAsia="fr-BE"/>
              </w:rPr>
            </w:pPr>
            <w:r w:rsidRPr="00EA7C1C">
              <w:rPr>
                <w:rFonts w:ascii="Times New Roman" w:eastAsiaTheme="minorHAnsi" w:hAnsi="Times New Roman"/>
                <w:b/>
                <w:bCs/>
                <w:iCs/>
                <w:szCs w:val="24"/>
                <w:u w:val="single"/>
                <w:lang w:val="fr-BE" w:eastAsia="fr-BE"/>
              </w:rPr>
              <w:t>Conseil européen</w:t>
            </w:r>
          </w:p>
          <w:p w14:paraId="61A34E8C" w14:textId="77777777" w:rsidR="001B512A" w:rsidRPr="005D1C6C" w:rsidRDefault="001B512A" w:rsidP="00EC414A">
            <w:pPr>
              <w:pStyle w:val="Sansinterligne"/>
              <w:spacing w:line="276" w:lineRule="auto"/>
              <w:jc w:val="center"/>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14:paraId="5109460C" w14:textId="77777777" w:rsidR="001B512A" w:rsidRPr="005D1C6C" w:rsidRDefault="001B512A" w:rsidP="00EC414A">
            <w:pPr>
              <w:pStyle w:val="Sansinterligne"/>
              <w:spacing w:line="276" w:lineRule="auto"/>
              <w:jc w:val="center"/>
              <w:rPr>
                <w:rFonts w:ascii="Times New Roman" w:hAnsi="Times New Roman"/>
                <w:b/>
                <w:sz w:val="24"/>
                <w:szCs w:val="24"/>
                <w:lang w:val="fr-BE"/>
              </w:rPr>
            </w:pPr>
          </w:p>
        </w:tc>
      </w:tr>
      <w:tr w:rsidR="001B512A" w:rsidRPr="00941FB9" w14:paraId="7E6F800F" w14:textId="77777777"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4F7F3482" w14:textId="77777777" w:rsidR="001B512A" w:rsidRPr="009F280B" w:rsidRDefault="001B512A" w:rsidP="00EC414A">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14:paraId="5E0E4341" w14:textId="1F13E8EE" w:rsidR="001B512A" w:rsidRPr="009F280B" w:rsidRDefault="009D037C" w:rsidP="0052055F">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16</w:t>
            </w:r>
            <w:r w:rsidR="00BF75A2">
              <w:rPr>
                <w:rFonts w:ascii="Times New Roman" w:eastAsiaTheme="minorHAnsi" w:hAnsi="Times New Roman"/>
                <w:b/>
                <w:bCs/>
                <w:color w:val="000000"/>
                <w:sz w:val="24"/>
                <w:szCs w:val="24"/>
                <w:lang w:val="fr-BE" w:eastAsia="fr-BE"/>
              </w:rPr>
              <w:t>/</w:t>
            </w:r>
            <w:r w:rsidR="0083585F">
              <w:rPr>
                <w:rFonts w:ascii="Times New Roman" w:eastAsiaTheme="minorHAnsi" w:hAnsi="Times New Roman"/>
                <w:b/>
                <w:bCs/>
                <w:color w:val="000000"/>
                <w:sz w:val="24"/>
                <w:szCs w:val="24"/>
                <w:lang w:val="fr-BE" w:eastAsia="fr-BE"/>
              </w:rPr>
              <w:t>10</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14:paraId="64370142" w14:textId="77777777" w:rsidR="001B512A" w:rsidRPr="005D1C6C" w:rsidRDefault="001B512A" w:rsidP="00EC414A">
            <w:pPr>
              <w:spacing w:after="0"/>
              <w:jc w:val="both"/>
              <w:rPr>
                <w:rFonts w:ascii="Times New Roman" w:eastAsiaTheme="minorHAnsi" w:hAnsi="Times New Roman"/>
                <w:bCs/>
                <w:sz w:val="24"/>
                <w:szCs w:val="24"/>
                <w:lang w:val="fr-BE" w:eastAsia="fr-BE"/>
              </w:rPr>
            </w:pPr>
          </w:p>
          <w:p w14:paraId="2D38295A" w14:textId="77777777" w:rsidR="001B512A" w:rsidRPr="005D1C6C" w:rsidRDefault="001B512A" w:rsidP="00EC414A">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14:paraId="037060DA" w14:textId="77777777" w:rsidR="00941FB9" w:rsidRPr="00EA7C1C" w:rsidRDefault="00941FB9" w:rsidP="00941FB9">
            <w:pPr>
              <w:autoSpaceDE w:val="0"/>
              <w:autoSpaceDN w:val="0"/>
              <w:adjustRightInd w:val="0"/>
              <w:spacing w:after="0" w:line="240" w:lineRule="auto"/>
              <w:jc w:val="center"/>
              <w:rPr>
                <w:rFonts w:ascii="Times New Roman" w:eastAsiaTheme="minorHAnsi" w:hAnsi="Times New Roman"/>
                <w:b/>
                <w:iCs/>
                <w:szCs w:val="24"/>
                <w:u w:val="single"/>
                <w:lang w:val="fr-BE" w:eastAsia="fr-BE"/>
              </w:rPr>
            </w:pPr>
            <w:r w:rsidRPr="00EA7C1C">
              <w:rPr>
                <w:rFonts w:ascii="Times New Roman" w:eastAsiaTheme="minorHAnsi" w:hAnsi="Times New Roman"/>
                <w:b/>
                <w:iCs/>
                <w:szCs w:val="24"/>
                <w:u w:val="single"/>
                <w:lang w:val="fr-BE" w:eastAsia="fr-BE"/>
              </w:rPr>
              <w:t>Open Days :</w:t>
            </w:r>
          </w:p>
          <w:p w14:paraId="5E973C82" w14:textId="09402D97" w:rsidR="001B512A" w:rsidRPr="00941FB9" w:rsidRDefault="00941FB9" w:rsidP="00941FB9">
            <w:pPr>
              <w:autoSpaceDE w:val="0"/>
              <w:autoSpaceDN w:val="0"/>
              <w:spacing w:after="0"/>
              <w:jc w:val="center"/>
              <w:rPr>
                <w:rFonts w:ascii="Times New Roman" w:eastAsiaTheme="minorHAnsi" w:hAnsi="Times New Roman"/>
                <w:sz w:val="24"/>
                <w:szCs w:val="24"/>
                <w:lang w:val="fr-BE" w:eastAsia="fr-BE"/>
              </w:rPr>
            </w:pPr>
            <w:r w:rsidRPr="00EA7C1C">
              <w:rPr>
                <w:rFonts w:ascii="Times New Roman" w:eastAsiaTheme="minorHAnsi" w:hAnsi="Times New Roman"/>
                <w:iCs/>
                <w:szCs w:val="24"/>
                <w:lang w:val="fr-BE" w:eastAsia="fr-BE"/>
              </w:rPr>
              <w:t>Régions et villes d’Europe : partenaires pour l’investissement et la croissance</w:t>
            </w:r>
          </w:p>
        </w:tc>
        <w:tc>
          <w:tcPr>
            <w:tcW w:w="1111" w:type="pct"/>
            <w:tcBorders>
              <w:top w:val="nil"/>
              <w:left w:val="nil"/>
              <w:bottom w:val="nil"/>
              <w:right w:val="single" w:sz="8" w:space="0" w:color="auto"/>
            </w:tcBorders>
            <w:noWrap/>
            <w:tcMar>
              <w:top w:w="0" w:type="dxa"/>
              <w:left w:w="70" w:type="dxa"/>
              <w:bottom w:w="0" w:type="dxa"/>
              <w:right w:w="70" w:type="dxa"/>
            </w:tcMar>
            <w:vAlign w:val="center"/>
          </w:tcPr>
          <w:p w14:paraId="468BDB14" w14:textId="77777777" w:rsidR="00941FB9" w:rsidRPr="00941FB9" w:rsidRDefault="00941FB9" w:rsidP="00941FB9">
            <w:pPr>
              <w:spacing w:after="0"/>
              <w:jc w:val="center"/>
              <w:rPr>
                <w:rFonts w:ascii="Times New Roman" w:eastAsiaTheme="minorHAnsi" w:hAnsi="Times New Roman"/>
                <w:b/>
                <w:bCs/>
                <w:iCs/>
                <w:szCs w:val="24"/>
                <w:u w:val="single"/>
                <w:lang w:val="fr-BE" w:eastAsia="fr-BE"/>
              </w:rPr>
            </w:pPr>
            <w:r w:rsidRPr="00941FB9">
              <w:rPr>
                <w:rFonts w:ascii="Times New Roman" w:eastAsiaTheme="minorHAnsi" w:hAnsi="Times New Roman"/>
                <w:b/>
                <w:bCs/>
                <w:iCs/>
                <w:szCs w:val="24"/>
                <w:u w:val="single"/>
                <w:lang w:val="fr-BE" w:eastAsia="fr-BE"/>
              </w:rPr>
              <w:t>Conseil européen</w:t>
            </w:r>
          </w:p>
          <w:p w14:paraId="6AF926C2" w14:textId="77777777" w:rsidR="00EA03A0" w:rsidRPr="001B4172" w:rsidRDefault="00EA03A0" w:rsidP="004B64EC">
            <w:pPr>
              <w:pStyle w:val="Paragraphedeliste"/>
              <w:spacing w:after="0"/>
              <w:jc w:val="both"/>
              <w:rPr>
                <w:rFonts w:ascii="Times New Roman" w:eastAsiaTheme="minorHAnsi" w:hAnsi="Times New Roman"/>
                <w:iCs/>
                <w:szCs w:val="24"/>
                <w:lang w:val="fr-BE" w:eastAsia="fr-BE"/>
              </w:rPr>
            </w:pPr>
          </w:p>
        </w:tc>
        <w:tc>
          <w:tcPr>
            <w:tcW w:w="783" w:type="pct"/>
            <w:tcBorders>
              <w:top w:val="nil"/>
              <w:left w:val="nil"/>
              <w:bottom w:val="nil"/>
              <w:right w:val="single" w:sz="8" w:space="0" w:color="auto"/>
            </w:tcBorders>
          </w:tcPr>
          <w:p w14:paraId="7350D104"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r>
      <w:tr w:rsidR="001B512A" w:rsidRPr="00941FB9" w14:paraId="774CBB55" w14:textId="77777777"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690B829" w14:textId="77777777" w:rsidR="001B512A" w:rsidRPr="009F280B" w:rsidRDefault="001B512A" w:rsidP="00EC414A">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8F5C859" w14:textId="77777777" w:rsidR="001B512A" w:rsidRPr="005D1C6C" w:rsidRDefault="001B512A" w:rsidP="00EC414A">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813D4CD" w14:textId="77777777" w:rsidR="001B512A" w:rsidRPr="005D1C6C" w:rsidRDefault="001B512A" w:rsidP="00941FB9">
            <w:pPr>
              <w:autoSpaceDE w:val="0"/>
              <w:autoSpaceDN w:val="0"/>
              <w:spacing w:after="0"/>
              <w:jc w:val="center"/>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BD7877A"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14:paraId="26752658"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r>
    </w:tbl>
    <w:p w14:paraId="4011EB42" w14:textId="1766DA07" w:rsidR="00EC414A" w:rsidRPr="001B4172" w:rsidRDefault="001B512A" w:rsidP="00EA7C1C">
      <w:pPr>
        <w:tabs>
          <w:tab w:val="left" w:pos="5115"/>
        </w:tabs>
        <w:autoSpaceDE w:val="0"/>
        <w:autoSpaceDN w:val="0"/>
        <w:adjustRightInd w:val="0"/>
        <w:spacing w:after="0"/>
        <w:jc w:val="both"/>
        <w:rPr>
          <w:lang w:val="fr-BE"/>
        </w:rPr>
      </w:pPr>
      <w:r w:rsidRPr="005D1C6C">
        <w:rPr>
          <w:rFonts w:ascii="Times New Roman" w:eastAsiaTheme="minorHAnsi" w:hAnsi="Times New Roman"/>
          <w:b/>
          <w:bCs/>
          <w:color w:val="4F81BD"/>
          <w:sz w:val="24"/>
          <w:szCs w:val="24"/>
          <w:lang w:val="fr-BE" w:eastAsia="fr-BE"/>
        </w:rPr>
        <w:tab/>
      </w:r>
    </w:p>
    <w:sectPr w:rsidR="00EC414A" w:rsidRPr="001B4172" w:rsidSect="00EC414A">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9A9C" w14:textId="77777777" w:rsidR="000C3530" w:rsidRDefault="000C3530">
      <w:pPr>
        <w:spacing w:after="0" w:line="240" w:lineRule="auto"/>
      </w:pPr>
      <w:r>
        <w:separator/>
      </w:r>
    </w:p>
  </w:endnote>
  <w:endnote w:type="continuationSeparator" w:id="0">
    <w:p w14:paraId="2DE44E19" w14:textId="77777777" w:rsidR="000C3530" w:rsidRDefault="000C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altName w:val="Times New Roman"/>
    <w:charset w:val="00"/>
    <w:family w:val="auto"/>
    <w:pitch w:val="default"/>
  </w:font>
  <w:font w:name="CaslonOpen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14:paraId="2059D84C" w14:textId="77777777" w:rsidR="00DB2C2C" w:rsidRDefault="00DB2C2C">
        <w:pPr>
          <w:pStyle w:val="Pieddepage"/>
          <w:jc w:val="center"/>
        </w:pPr>
        <w:r>
          <w:fldChar w:fldCharType="begin"/>
        </w:r>
        <w:r>
          <w:instrText xml:space="preserve"> PAGE   \* MERGEFORMAT </w:instrText>
        </w:r>
        <w:r>
          <w:fldChar w:fldCharType="separate"/>
        </w:r>
        <w:r w:rsidR="002F1D66">
          <w:rPr>
            <w:noProof/>
          </w:rPr>
          <w:t>5</w:t>
        </w:r>
        <w:r>
          <w:rPr>
            <w:noProof/>
          </w:rPr>
          <w:fldChar w:fldCharType="end"/>
        </w:r>
      </w:p>
    </w:sdtContent>
  </w:sdt>
  <w:p w14:paraId="31CBA304" w14:textId="77777777" w:rsidR="00DB2C2C" w:rsidRDefault="00DB2C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825D" w14:textId="77777777" w:rsidR="000C3530" w:rsidRDefault="000C3530">
      <w:pPr>
        <w:spacing w:after="0" w:line="240" w:lineRule="auto"/>
      </w:pPr>
      <w:r>
        <w:separator/>
      </w:r>
    </w:p>
  </w:footnote>
  <w:footnote w:type="continuationSeparator" w:id="0">
    <w:p w14:paraId="1EF46D9B" w14:textId="77777777" w:rsidR="000C3530" w:rsidRDefault="000C3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68D"/>
    <w:multiLevelType w:val="hybridMultilevel"/>
    <w:tmpl w:val="3552D69A"/>
    <w:lvl w:ilvl="0" w:tplc="745ECAEC">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4BA777FE"/>
    <w:multiLevelType w:val="hybridMultilevel"/>
    <w:tmpl w:val="42D43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63832"/>
    <w:rsid w:val="000847EA"/>
    <w:rsid w:val="000A2872"/>
    <w:rsid w:val="000B34D8"/>
    <w:rsid w:val="000B4342"/>
    <w:rsid w:val="000C3530"/>
    <w:rsid w:val="000D51F8"/>
    <w:rsid w:val="000E02E4"/>
    <w:rsid w:val="000E7B73"/>
    <w:rsid w:val="001269A2"/>
    <w:rsid w:val="001627C1"/>
    <w:rsid w:val="00180C4F"/>
    <w:rsid w:val="00185EB5"/>
    <w:rsid w:val="001B4172"/>
    <w:rsid w:val="001B512A"/>
    <w:rsid w:val="001C73E5"/>
    <w:rsid w:val="001F5BE6"/>
    <w:rsid w:val="00200FD9"/>
    <w:rsid w:val="00203EE4"/>
    <w:rsid w:val="00215C21"/>
    <w:rsid w:val="00236A51"/>
    <w:rsid w:val="002724CA"/>
    <w:rsid w:val="00282E5E"/>
    <w:rsid w:val="002A518D"/>
    <w:rsid w:val="002C5081"/>
    <w:rsid w:val="002D63C1"/>
    <w:rsid w:val="002D64D9"/>
    <w:rsid w:val="002F1D66"/>
    <w:rsid w:val="002F2725"/>
    <w:rsid w:val="0034176F"/>
    <w:rsid w:val="0034509E"/>
    <w:rsid w:val="00363AC9"/>
    <w:rsid w:val="003820D6"/>
    <w:rsid w:val="003A006C"/>
    <w:rsid w:val="003C3F61"/>
    <w:rsid w:val="003D7876"/>
    <w:rsid w:val="003E15B5"/>
    <w:rsid w:val="003E4AE7"/>
    <w:rsid w:val="003E7369"/>
    <w:rsid w:val="0042411A"/>
    <w:rsid w:val="00452922"/>
    <w:rsid w:val="004879E4"/>
    <w:rsid w:val="00491E59"/>
    <w:rsid w:val="00493737"/>
    <w:rsid w:val="004956EE"/>
    <w:rsid w:val="004A3B30"/>
    <w:rsid w:val="004B50DF"/>
    <w:rsid w:val="004B64EC"/>
    <w:rsid w:val="004D5432"/>
    <w:rsid w:val="00513C98"/>
    <w:rsid w:val="0052055F"/>
    <w:rsid w:val="0053007E"/>
    <w:rsid w:val="00591D89"/>
    <w:rsid w:val="00596C06"/>
    <w:rsid w:val="00597144"/>
    <w:rsid w:val="005B3FEE"/>
    <w:rsid w:val="005D7B04"/>
    <w:rsid w:val="00601EDA"/>
    <w:rsid w:val="00613527"/>
    <w:rsid w:val="006434E2"/>
    <w:rsid w:val="006B18C9"/>
    <w:rsid w:val="00716B46"/>
    <w:rsid w:val="0072383C"/>
    <w:rsid w:val="00740786"/>
    <w:rsid w:val="00785BE8"/>
    <w:rsid w:val="00793D1F"/>
    <w:rsid w:val="007B4245"/>
    <w:rsid w:val="007C6ED4"/>
    <w:rsid w:val="007C75F2"/>
    <w:rsid w:val="007D3FC9"/>
    <w:rsid w:val="007E0776"/>
    <w:rsid w:val="007F1560"/>
    <w:rsid w:val="007F5B64"/>
    <w:rsid w:val="007F634E"/>
    <w:rsid w:val="00802181"/>
    <w:rsid w:val="008106F5"/>
    <w:rsid w:val="00816834"/>
    <w:rsid w:val="00825143"/>
    <w:rsid w:val="00826FBA"/>
    <w:rsid w:val="0083585F"/>
    <w:rsid w:val="00842B64"/>
    <w:rsid w:val="008465F3"/>
    <w:rsid w:val="008538A9"/>
    <w:rsid w:val="00854956"/>
    <w:rsid w:val="008643F7"/>
    <w:rsid w:val="008648A9"/>
    <w:rsid w:val="00873977"/>
    <w:rsid w:val="008A05EB"/>
    <w:rsid w:val="008B1C71"/>
    <w:rsid w:val="008B43A6"/>
    <w:rsid w:val="008C2D59"/>
    <w:rsid w:val="008E442E"/>
    <w:rsid w:val="008F39D8"/>
    <w:rsid w:val="00922A59"/>
    <w:rsid w:val="00941FB9"/>
    <w:rsid w:val="00950942"/>
    <w:rsid w:val="0095375B"/>
    <w:rsid w:val="00954A79"/>
    <w:rsid w:val="00965A20"/>
    <w:rsid w:val="00970836"/>
    <w:rsid w:val="00972579"/>
    <w:rsid w:val="00973E1E"/>
    <w:rsid w:val="00984013"/>
    <w:rsid w:val="009A141F"/>
    <w:rsid w:val="009B103B"/>
    <w:rsid w:val="009B60F9"/>
    <w:rsid w:val="009D037C"/>
    <w:rsid w:val="009D274F"/>
    <w:rsid w:val="009D48EC"/>
    <w:rsid w:val="009E3217"/>
    <w:rsid w:val="009F447F"/>
    <w:rsid w:val="00A04030"/>
    <w:rsid w:val="00A21B9E"/>
    <w:rsid w:val="00A37271"/>
    <w:rsid w:val="00A64C3C"/>
    <w:rsid w:val="00A764C3"/>
    <w:rsid w:val="00A83EAE"/>
    <w:rsid w:val="00A9487A"/>
    <w:rsid w:val="00AB611E"/>
    <w:rsid w:val="00AC0F59"/>
    <w:rsid w:val="00AC1EB3"/>
    <w:rsid w:val="00AD7DFD"/>
    <w:rsid w:val="00AE604B"/>
    <w:rsid w:val="00AF5E08"/>
    <w:rsid w:val="00B11C50"/>
    <w:rsid w:val="00B202EE"/>
    <w:rsid w:val="00B41E41"/>
    <w:rsid w:val="00B54810"/>
    <w:rsid w:val="00B57979"/>
    <w:rsid w:val="00B64376"/>
    <w:rsid w:val="00B8019A"/>
    <w:rsid w:val="00BA1645"/>
    <w:rsid w:val="00BB5B8B"/>
    <w:rsid w:val="00BD64FC"/>
    <w:rsid w:val="00BE49BB"/>
    <w:rsid w:val="00BF0FFA"/>
    <w:rsid w:val="00BF75A2"/>
    <w:rsid w:val="00C13400"/>
    <w:rsid w:val="00C2419C"/>
    <w:rsid w:val="00C432AC"/>
    <w:rsid w:val="00C440D4"/>
    <w:rsid w:val="00C65153"/>
    <w:rsid w:val="00C82B8E"/>
    <w:rsid w:val="00C8757D"/>
    <w:rsid w:val="00CB385D"/>
    <w:rsid w:val="00CD41AE"/>
    <w:rsid w:val="00CE389A"/>
    <w:rsid w:val="00D01352"/>
    <w:rsid w:val="00D02FF0"/>
    <w:rsid w:val="00D13394"/>
    <w:rsid w:val="00D25143"/>
    <w:rsid w:val="00D44884"/>
    <w:rsid w:val="00D965C3"/>
    <w:rsid w:val="00DA2A1D"/>
    <w:rsid w:val="00DB1278"/>
    <w:rsid w:val="00DB2C2C"/>
    <w:rsid w:val="00DD021B"/>
    <w:rsid w:val="00DD7555"/>
    <w:rsid w:val="00DF0C28"/>
    <w:rsid w:val="00DF788C"/>
    <w:rsid w:val="00EA03A0"/>
    <w:rsid w:val="00EA479D"/>
    <w:rsid w:val="00EA7C1C"/>
    <w:rsid w:val="00EC414A"/>
    <w:rsid w:val="00EF291B"/>
    <w:rsid w:val="00EF4FD5"/>
    <w:rsid w:val="00F0276D"/>
    <w:rsid w:val="00F06D16"/>
    <w:rsid w:val="00F1593A"/>
    <w:rsid w:val="00F425D2"/>
    <w:rsid w:val="00F457EE"/>
    <w:rsid w:val="00F519A3"/>
    <w:rsid w:val="00F67DBC"/>
    <w:rsid w:val="00FC4DA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11A2"/>
  <w15:docId w15:val="{A72EEF12-937E-483C-8C39-9133659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B9"/>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unhideWhenUsed/>
    <w:rsid w:val="003D7876"/>
    <w:pPr>
      <w:spacing w:line="240" w:lineRule="auto"/>
    </w:pPr>
    <w:rPr>
      <w:sz w:val="20"/>
      <w:szCs w:val="20"/>
    </w:rPr>
  </w:style>
  <w:style w:type="character" w:customStyle="1" w:styleId="CommentaireCar">
    <w:name w:val="Commentaire Car"/>
    <w:basedOn w:val="Policepardfaut"/>
    <w:link w:val="Commentaire"/>
    <w:uiPriority w:val="99"/>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 w:type="paragraph" w:styleId="NormalWeb">
    <w:name w:val="Normal (Web)"/>
    <w:basedOn w:val="Normal"/>
    <w:uiPriority w:val="99"/>
    <w:semiHidden/>
    <w:unhideWhenUsed/>
    <w:rsid w:val="0072383C"/>
    <w:pPr>
      <w:spacing w:before="100" w:beforeAutospacing="1" w:after="100" w:afterAutospacing="1" w:line="240" w:lineRule="auto"/>
    </w:pPr>
    <w:rPr>
      <w:rFonts w:ascii="Times New Roman" w:eastAsiaTheme="minorHAnsi" w:hAnsi="Times New Roman"/>
      <w:sz w:val="24"/>
      <w:szCs w:val="24"/>
      <w:lang w:val="fr-BE" w:eastAsia="fr-BE"/>
    </w:rPr>
  </w:style>
  <w:style w:type="character" w:customStyle="1" w:styleId="apple-converted-space">
    <w:name w:val="apple-converted-space"/>
    <w:basedOn w:val="Policepardfaut"/>
    <w:rsid w:val="0064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478038111">
      <w:bodyDiv w:val="1"/>
      <w:marLeft w:val="0"/>
      <w:marRight w:val="0"/>
      <w:marTop w:val="0"/>
      <w:marBottom w:val="0"/>
      <w:divBdr>
        <w:top w:val="none" w:sz="0" w:space="0" w:color="auto"/>
        <w:left w:val="none" w:sz="0" w:space="0" w:color="auto"/>
        <w:bottom w:val="none" w:sz="0" w:space="0" w:color="auto"/>
        <w:right w:val="none" w:sz="0" w:space="0" w:color="auto"/>
      </w:divBdr>
    </w:div>
    <w:div w:id="493107122">
      <w:bodyDiv w:val="1"/>
      <w:marLeft w:val="0"/>
      <w:marRight w:val="0"/>
      <w:marTop w:val="0"/>
      <w:marBottom w:val="0"/>
      <w:divBdr>
        <w:top w:val="none" w:sz="0" w:space="0" w:color="auto"/>
        <w:left w:val="none" w:sz="0" w:space="0" w:color="auto"/>
        <w:bottom w:val="none" w:sz="0" w:space="0" w:color="auto"/>
        <w:right w:val="none" w:sz="0" w:space="0" w:color="auto"/>
      </w:divBdr>
    </w:div>
    <w:div w:id="608242732">
      <w:bodyDiv w:val="1"/>
      <w:marLeft w:val="0"/>
      <w:marRight w:val="0"/>
      <w:marTop w:val="0"/>
      <w:marBottom w:val="0"/>
      <w:divBdr>
        <w:top w:val="none" w:sz="0" w:space="0" w:color="auto"/>
        <w:left w:val="none" w:sz="0" w:space="0" w:color="auto"/>
        <w:bottom w:val="none" w:sz="0" w:space="0" w:color="auto"/>
        <w:right w:val="none" w:sz="0" w:space="0" w:color="auto"/>
      </w:divBdr>
    </w:div>
    <w:div w:id="648286467">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665325370">
      <w:bodyDiv w:val="1"/>
      <w:marLeft w:val="0"/>
      <w:marRight w:val="0"/>
      <w:marTop w:val="0"/>
      <w:marBottom w:val="0"/>
      <w:divBdr>
        <w:top w:val="none" w:sz="0" w:space="0" w:color="auto"/>
        <w:left w:val="none" w:sz="0" w:space="0" w:color="auto"/>
        <w:bottom w:val="none" w:sz="0" w:space="0" w:color="auto"/>
        <w:right w:val="none" w:sz="0" w:space="0" w:color="auto"/>
      </w:divBdr>
      <w:divsChild>
        <w:div w:id="1090469146">
          <w:marLeft w:val="0"/>
          <w:marRight w:val="0"/>
          <w:marTop w:val="0"/>
          <w:marBottom w:val="0"/>
          <w:divBdr>
            <w:top w:val="none" w:sz="0" w:space="0" w:color="auto"/>
            <w:left w:val="none" w:sz="0" w:space="0" w:color="auto"/>
            <w:bottom w:val="none" w:sz="0" w:space="0" w:color="auto"/>
            <w:right w:val="none" w:sz="0" w:space="0" w:color="auto"/>
          </w:divBdr>
          <w:divsChild>
            <w:div w:id="720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16">
      <w:bodyDiv w:val="1"/>
      <w:marLeft w:val="0"/>
      <w:marRight w:val="0"/>
      <w:marTop w:val="0"/>
      <w:marBottom w:val="0"/>
      <w:divBdr>
        <w:top w:val="none" w:sz="0" w:space="0" w:color="auto"/>
        <w:left w:val="none" w:sz="0" w:space="0" w:color="auto"/>
        <w:bottom w:val="none" w:sz="0" w:space="0" w:color="auto"/>
        <w:right w:val="none" w:sz="0" w:space="0" w:color="auto"/>
      </w:divBdr>
    </w:div>
    <w:div w:id="838160307">
      <w:bodyDiv w:val="1"/>
      <w:marLeft w:val="0"/>
      <w:marRight w:val="0"/>
      <w:marTop w:val="0"/>
      <w:marBottom w:val="0"/>
      <w:divBdr>
        <w:top w:val="none" w:sz="0" w:space="0" w:color="auto"/>
        <w:left w:val="none" w:sz="0" w:space="0" w:color="auto"/>
        <w:bottom w:val="none" w:sz="0" w:space="0" w:color="auto"/>
        <w:right w:val="none" w:sz="0" w:space="0" w:color="auto"/>
      </w:divBdr>
    </w:div>
    <w:div w:id="1014452716">
      <w:bodyDiv w:val="1"/>
      <w:marLeft w:val="0"/>
      <w:marRight w:val="0"/>
      <w:marTop w:val="0"/>
      <w:marBottom w:val="0"/>
      <w:divBdr>
        <w:top w:val="none" w:sz="0" w:space="0" w:color="auto"/>
        <w:left w:val="none" w:sz="0" w:space="0" w:color="auto"/>
        <w:bottom w:val="none" w:sz="0" w:space="0" w:color="auto"/>
        <w:right w:val="none" w:sz="0" w:space="0" w:color="auto"/>
      </w:divBdr>
    </w:div>
    <w:div w:id="1070074886">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41314906">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1870559309">
      <w:bodyDiv w:val="1"/>
      <w:marLeft w:val="0"/>
      <w:marRight w:val="0"/>
      <w:marTop w:val="0"/>
      <w:marBottom w:val="0"/>
      <w:divBdr>
        <w:top w:val="none" w:sz="0" w:space="0" w:color="auto"/>
        <w:left w:val="none" w:sz="0" w:space="0" w:color="auto"/>
        <w:bottom w:val="none" w:sz="0" w:space="0" w:color="auto"/>
        <w:right w:val="none" w:sz="0" w:space="0" w:color="auto"/>
      </w:divBdr>
    </w:div>
    <w:div w:id="2037075772">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ublic-consultation-eu-acp-new-partnership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BD81-4DE9-4040-9B15-783EF266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1396</Words>
  <Characters>7678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Cecile Devins</cp:lastModifiedBy>
  <cp:revision>19</cp:revision>
  <cp:lastPrinted>2015-09-11T15:38:00Z</cp:lastPrinted>
  <dcterms:created xsi:type="dcterms:W3CDTF">2015-10-02T15:15:00Z</dcterms:created>
  <dcterms:modified xsi:type="dcterms:W3CDTF">2015-10-09T14:09:00Z</dcterms:modified>
</cp:coreProperties>
</file>